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0" w:rsidRDefault="00E13E60" w:rsidP="00A13E95">
      <w:pPr>
        <w:pStyle w:val="Zhlav"/>
        <w:tabs>
          <w:tab w:val="clear" w:pos="4536"/>
          <w:tab w:val="clear" w:pos="9072"/>
          <w:tab w:val="left" w:pos="4125"/>
          <w:tab w:val="left" w:pos="6750"/>
        </w:tabs>
      </w:pPr>
      <w:r>
        <w:tab/>
      </w:r>
      <w:r w:rsidR="00A13E95">
        <w:tab/>
      </w:r>
    </w:p>
    <w:p w:rsidR="00E13E60" w:rsidRDefault="00E13E60" w:rsidP="00E13E6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E13E60" w:rsidRPr="00FB49D2" w:rsidRDefault="00FB49D2" w:rsidP="00E13E60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„</w:t>
      </w:r>
      <w:r w:rsidRPr="00FB49D2">
        <w:rPr>
          <w:rFonts w:ascii="Arial" w:hAnsi="Arial" w:cs="Arial"/>
          <w:b/>
          <w:bCs/>
          <w:i/>
          <w:color w:val="999999"/>
          <w:sz w:val="34"/>
          <w:szCs w:val="32"/>
        </w:rPr>
        <w:t>Za oponou čeká fantazie</w:t>
      </w:r>
      <w:r>
        <w:rPr>
          <w:rFonts w:ascii="Arial" w:hAnsi="Arial" w:cs="Arial"/>
          <w:b/>
          <w:bCs/>
          <w:color w:val="999999"/>
          <w:sz w:val="34"/>
          <w:szCs w:val="32"/>
        </w:rPr>
        <w:t>“ láká na výstavu loutek a rodinných divadélek zámek Dačice</w:t>
      </w:r>
    </w:p>
    <w:p w:rsidR="00E13E60" w:rsidRDefault="00FB49D2" w:rsidP="00E13E60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5</w:t>
      </w:r>
      <w:r w:rsidR="00E13E60">
        <w:rPr>
          <w:rFonts w:ascii="Arial" w:hAnsi="Arial" w:cs="Arial"/>
          <w:color w:val="auto"/>
          <w:sz w:val="22"/>
        </w:rPr>
        <w:t xml:space="preserve">. </w:t>
      </w:r>
      <w:r>
        <w:rPr>
          <w:rFonts w:ascii="Arial" w:hAnsi="Arial" w:cs="Arial"/>
          <w:color w:val="auto"/>
          <w:sz w:val="22"/>
        </w:rPr>
        <w:t>června</w:t>
      </w:r>
      <w:r w:rsidR="00E13E60">
        <w:rPr>
          <w:rFonts w:ascii="Arial" w:hAnsi="Arial" w:cs="Arial"/>
          <w:color w:val="auto"/>
          <w:sz w:val="22"/>
        </w:rPr>
        <w:t xml:space="preserve"> 2015</w:t>
      </w:r>
    </w:p>
    <w:bookmarkEnd w:id="0"/>
    <w:p w:rsidR="00B058B5" w:rsidRDefault="00FB49D2" w:rsidP="00B058B5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 sobotu 13. června 2015 se na zámku Dačice otevře výstava „Za oponou čeká fantazie. Loutky a rodinná divadélka ze sbírek Národního muzea.“ </w:t>
      </w:r>
      <w:r w:rsidRPr="00FB49D2">
        <w:rPr>
          <w:rFonts w:ascii="Arial" w:hAnsi="Arial" w:cs="Arial"/>
          <w:b/>
          <w:bCs/>
          <w:sz w:val="20"/>
          <w:szCs w:val="20"/>
        </w:rPr>
        <w:t>Více než dvě stovky exponátů, mapujících jednu z nejvýznamnějších kapitol domácího loutkového divadla, představí výstava, kterou ve spolupráci s Divadelním oddělením Národního muzea uspořádala Spr</w:t>
      </w:r>
      <w:r w:rsidR="006D3EBF">
        <w:rPr>
          <w:rFonts w:ascii="Arial" w:hAnsi="Arial" w:cs="Arial"/>
          <w:b/>
          <w:bCs/>
          <w:sz w:val="20"/>
          <w:szCs w:val="20"/>
        </w:rPr>
        <w:t>áva státního zámku v Dačicích. Výstava potrvá do 31. srpna 2015.</w:t>
      </w:r>
    </w:p>
    <w:p w:rsidR="00A13E95" w:rsidRDefault="006E465F" w:rsidP="00FB49D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Výstava představuje nejen ukázky </w:t>
      </w:r>
      <w:r w:rsidRPr="00FB49D2">
        <w:rPr>
          <w:rFonts w:ascii="Arial" w:hAnsi="Arial" w:cs="Arial"/>
          <w:bCs/>
          <w:sz w:val="20"/>
          <w:szCs w:val="20"/>
        </w:rPr>
        <w:t xml:space="preserve">sériové produkce loutek, dekorací i celých divadel, vytvářených špičkovými výtvarníky své doby (např. František Kysela nebo Artuš </w:t>
      </w:r>
      <w:proofErr w:type="spellStart"/>
      <w:r w:rsidRPr="00FB49D2">
        <w:rPr>
          <w:rFonts w:ascii="Arial" w:hAnsi="Arial" w:cs="Arial"/>
          <w:bCs/>
          <w:sz w:val="20"/>
          <w:szCs w:val="20"/>
        </w:rPr>
        <w:t>Scheiner</w:t>
      </w:r>
      <w:proofErr w:type="spellEnd"/>
      <w:r w:rsidRPr="00FB49D2">
        <w:rPr>
          <w:rFonts w:ascii="Arial" w:hAnsi="Arial" w:cs="Arial"/>
          <w:bCs/>
          <w:sz w:val="20"/>
          <w:szCs w:val="20"/>
        </w:rPr>
        <w:t xml:space="preserve">), </w:t>
      </w:r>
      <w:r>
        <w:rPr>
          <w:rFonts w:ascii="Arial" w:hAnsi="Arial" w:cs="Arial"/>
          <w:bCs/>
          <w:sz w:val="20"/>
          <w:szCs w:val="20"/>
        </w:rPr>
        <w:t>ale</w:t>
      </w:r>
      <w:r w:rsidRPr="00FB49D2">
        <w:rPr>
          <w:rFonts w:ascii="Arial" w:hAnsi="Arial" w:cs="Arial"/>
          <w:bCs/>
          <w:sz w:val="20"/>
          <w:szCs w:val="20"/>
        </w:rPr>
        <w:t xml:space="preserve"> i naprosté </w:t>
      </w:r>
      <w:r w:rsidRPr="009E3B52">
        <w:rPr>
          <w:rFonts w:ascii="Arial" w:hAnsi="Arial" w:cs="Arial"/>
          <w:b/>
          <w:bCs/>
          <w:sz w:val="20"/>
          <w:szCs w:val="20"/>
        </w:rPr>
        <w:t>unikáty</w:t>
      </w:r>
      <w:r w:rsidRPr="00FB49D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„</w:t>
      </w:r>
      <w:r w:rsidR="00FB6B92">
        <w:rPr>
          <w:rFonts w:ascii="Arial" w:hAnsi="Arial" w:cs="Arial"/>
          <w:bCs/>
          <w:sz w:val="20"/>
          <w:szCs w:val="20"/>
        </w:rPr>
        <w:t>Mezi nimi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02E08">
        <w:rPr>
          <w:rFonts w:ascii="Arial" w:hAnsi="Arial" w:cs="Arial"/>
          <w:bCs/>
          <w:sz w:val="20"/>
          <w:szCs w:val="20"/>
        </w:rPr>
        <w:t>vyniká</w:t>
      </w:r>
      <w:r>
        <w:rPr>
          <w:rFonts w:ascii="Arial" w:hAnsi="Arial" w:cs="Arial"/>
          <w:bCs/>
          <w:sz w:val="20"/>
          <w:szCs w:val="20"/>
        </w:rPr>
        <w:t xml:space="preserve"> například </w:t>
      </w:r>
      <w:r w:rsidRPr="009E3B52">
        <w:rPr>
          <w:rFonts w:ascii="Arial" w:hAnsi="Arial" w:cs="Arial"/>
          <w:b/>
          <w:bCs/>
          <w:sz w:val="20"/>
          <w:szCs w:val="20"/>
        </w:rPr>
        <w:t>jediný zachovaný exemplář prvního česky tištěného loutkového divadla</w:t>
      </w:r>
      <w:r>
        <w:rPr>
          <w:rFonts w:ascii="Arial" w:hAnsi="Arial" w:cs="Arial"/>
          <w:bCs/>
          <w:sz w:val="20"/>
          <w:szCs w:val="20"/>
        </w:rPr>
        <w:t xml:space="preserve"> u nás,“ vyzdvihuje </w:t>
      </w:r>
      <w:r w:rsidR="009E3B52">
        <w:rPr>
          <w:rFonts w:ascii="Arial" w:hAnsi="Arial" w:cs="Arial"/>
          <w:bCs/>
          <w:sz w:val="20"/>
          <w:szCs w:val="20"/>
        </w:rPr>
        <w:t xml:space="preserve">kurátorka výstavy Lenka Šaldová, „které vydalo Nakladatelství Josefa R. Vilímka v roce 1894 a které reprodukuje portál </w:t>
      </w:r>
      <w:r w:rsidR="009E3B52" w:rsidRPr="00FB49D2">
        <w:rPr>
          <w:rFonts w:ascii="Arial" w:hAnsi="Arial" w:cs="Arial"/>
          <w:bCs/>
          <w:sz w:val="20"/>
          <w:szCs w:val="20"/>
        </w:rPr>
        <w:t>Národního divadla s nápisem Národ sobě.</w:t>
      </w:r>
      <w:r w:rsidR="009E3B52">
        <w:rPr>
          <w:rFonts w:ascii="Arial" w:hAnsi="Arial" w:cs="Arial"/>
          <w:bCs/>
          <w:sz w:val="20"/>
          <w:szCs w:val="20"/>
        </w:rPr>
        <w:t xml:space="preserve"> </w:t>
      </w:r>
      <w:r w:rsidR="009E3B52" w:rsidRPr="00FB49D2">
        <w:rPr>
          <w:rFonts w:ascii="Arial" w:hAnsi="Arial" w:cs="Arial"/>
          <w:bCs/>
          <w:sz w:val="20"/>
          <w:szCs w:val="20"/>
        </w:rPr>
        <w:t>Téměř celý náklad ješ</w:t>
      </w:r>
      <w:r w:rsidR="009E3B52">
        <w:rPr>
          <w:rFonts w:ascii="Arial" w:hAnsi="Arial" w:cs="Arial"/>
          <w:bCs/>
          <w:sz w:val="20"/>
          <w:szCs w:val="20"/>
        </w:rPr>
        <w:t>tě před uvedením na trh shořel a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dodnes se zachoval patrně jediný exemplář, který uvidí právě </w:t>
      </w:r>
      <w:r w:rsidR="009E3B52">
        <w:rPr>
          <w:rFonts w:ascii="Arial" w:hAnsi="Arial" w:cs="Arial"/>
          <w:bCs/>
          <w:sz w:val="20"/>
          <w:szCs w:val="20"/>
        </w:rPr>
        <w:t xml:space="preserve">návštěvníci dačické výstavy,“ zve k návštěvě </w:t>
      </w:r>
      <w:r w:rsidR="00F70473">
        <w:rPr>
          <w:rFonts w:ascii="Arial" w:hAnsi="Arial" w:cs="Arial"/>
          <w:bCs/>
          <w:sz w:val="20"/>
          <w:szCs w:val="20"/>
        </w:rPr>
        <w:t>Lenka Šaldová.</w:t>
      </w:r>
    </w:p>
    <w:p w:rsidR="00FB6B92" w:rsidRDefault="00FB6B92" w:rsidP="009E3B5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Dalším unikátem, který budou moci návštěvníci obdivovat,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jsou ručně malované plošné loutky malíře Mik</w:t>
      </w:r>
      <w:r w:rsidR="009E3B52">
        <w:rPr>
          <w:rFonts w:ascii="Arial" w:hAnsi="Arial" w:cs="Arial"/>
          <w:bCs/>
          <w:sz w:val="20"/>
          <w:szCs w:val="20"/>
        </w:rPr>
        <w:t>o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láše Alše, které vytvořil pro své děti. Na základě Alšových ilustrací v loutkářských knížkách vznikly roku 1912 i nejstarší české sériově vyráběné loutky, příznačně zvané </w:t>
      </w:r>
      <w:proofErr w:type="spellStart"/>
      <w:r w:rsidR="009E3B52" w:rsidRPr="007554AD">
        <w:rPr>
          <w:rFonts w:ascii="Arial" w:hAnsi="Arial" w:cs="Arial"/>
          <w:b/>
          <w:bCs/>
          <w:sz w:val="20"/>
          <w:szCs w:val="20"/>
        </w:rPr>
        <w:t>Alšovky</w:t>
      </w:r>
      <w:proofErr w:type="spellEnd"/>
      <w:r>
        <w:rPr>
          <w:rFonts w:ascii="Arial" w:hAnsi="Arial" w:cs="Arial"/>
          <w:bCs/>
          <w:sz w:val="20"/>
          <w:szCs w:val="20"/>
        </w:rPr>
        <w:t>. „Z jejich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nejranější produkce</w:t>
      </w:r>
      <w:r>
        <w:rPr>
          <w:rFonts w:ascii="Arial" w:hAnsi="Arial" w:cs="Arial"/>
          <w:bCs/>
          <w:sz w:val="20"/>
          <w:szCs w:val="20"/>
        </w:rPr>
        <w:t xml:space="preserve"> bude na výstavě k vidění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slavná pohádková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trojic</w:t>
      </w:r>
      <w:r>
        <w:rPr>
          <w:rFonts w:ascii="Arial" w:hAnsi="Arial" w:cs="Arial"/>
          <w:bCs/>
          <w:sz w:val="20"/>
          <w:szCs w:val="20"/>
        </w:rPr>
        <w:t>e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Dlouhý, Široký a Bystrozraký</w:t>
      </w:r>
      <w:r>
        <w:rPr>
          <w:rFonts w:ascii="Arial" w:hAnsi="Arial" w:cs="Arial"/>
          <w:bCs/>
          <w:sz w:val="20"/>
          <w:szCs w:val="20"/>
        </w:rPr>
        <w:t>,“ upřesňuje kastelán zámku Jan Mikeš.</w:t>
      </w:r>
    </w:p>
    <w:p w:rsidR="009E3B52" w:rsidRDefault="00FB6B92" w:rsidP="009E3B5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romě dalších kompletních rodinných divadel z první poloviny 20. století a několika desítek loutek vyrobených firmami Antonína </w:t>
      </w:r>
      <w:proofErr w:type="spellStart"/>
      <w:r w:rsidR="009E3B52" w:rsidRPr="00FB49D2">
        <w:rPr>
          <w:rFonts w:ascii="Arial" w:hAnsi="Arial" w:cs="Arial"/>
          <w:bCs/>
          <w:sz w:val="20"/>
          <w:szCs w:val="20"/>
        </w:rPr>
        <w:t>Münzberga</w:t>
      </w:r>
      <w:proofErr w:type="spellEnd"/>
      <w:r w:rsidR="009E3B52" w:rsidRPr="00FB49D2">
        <w:rPr>
          <w:rFonts w:ascii="Arial" w:hAnsi="Arial" w:cs="Arial"/>
          <w:bCs/>
          <w:sz w:val="20"/>
          <w:szCs w:val="20"/>
        </w:rPr>
        <w:t>, Jana Krále či Aloise Preclíka zapůjčilo Národní muzeum také</w:t>
      </w:r>
      <w:r w:rsidR="00102E08">
        <w:rPr>
          <w:rFonts w:ascii="Arial" w:hAnsi="Arial" w:cs="Arial"/>
          <w:bCs/>
          <w:sz w:val="20"/>
          <w:szCs w:val="20"/>
        </w:rPr>
        <w:t xml:space="preserve"> loutky, které významní výtvarní</w:t>
      </w:r>
      <w:r w:rsidR="009E3B52" w:rsidRPr="00FB49D2">
        <w:rPr>
          <w:rFonts w:ascii="Arial" w:hAnsi="Arial" w:cs="Arial"/>
          <w:bCs/>
          <w:sz w:val="20"/>
          <w:szCs w:val="20"/>
        </w:rPr>
        <w:t>ci vyrobili pro své rodiny či přátele</w:t>
      </w:r>
      <w:r>
        <w:rPr>
          <w:rFonts w:ascii="Arial" w:hAnsi="Arial" w:cs="Arial"/>
          <w:bCs/>
          <w:sz w:val="20"/>
          <w:szCs w:val="20"/>
        </w:rPr>
        <w:t>.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„V</w:t>
      </w:r>
      <w:r w:rsidR="009E3B52" w:rsidRPr="00FB49D2">
        <w:rPr>
          <w:rFonts w:ascii="Arial" w:hAnsi="Arial" w:cs="Arial"/>
          <w:bCs/>
          <w:sz w:val="20"/>
          <w:szCs w:val="20"/>
        </w:rPr>
        <w:t>ystaveni jsou tak například Spejbl, Hurvínek a Mánička vyřezaní</w:t>
      </w:r>
      <w:r w:rsidRPr="00FB6B92">
        <w:rPr>
          <w:rFonts w:ascii="Arial" w:hAnsi="Arial" w:cs="Arial"/>
          <w:bCs/>
          <w:sz w:val="20"/>
          <w:szCs w:val="20"/>
        </w:rPr>
        <w:t xml:space="preserve"> </w:t>
      </w:r>
      <w:r w:rsidRPr="00FB49D2">
        <w:rPr>
          <w:rFonts w:ascii="Arial" w:hAnsi="Arial" w:cs="Arial"/>
          <w:bCs/>
          <w:sz w:val="20"/>
          <w:szCs w:val="20"/>
        </w:rPr>
        <w:t xml:space="preserve">Janem </w:t>
      </w:r>
      <w:proofErr w:type="spellStart"/>
      <w:r w:rsidRPr="00FB49D2">
        <w:rPr>
          <w:rFonts w:ascii="Arial" w:hAnsi="Arial" w:cs="Arial"/>
          <w:bCs/>
          <w:sz w:val="20"/>
          <w:szCs w:val="20"/>
        </w:rPr>
        <w:t>Vavříkem</w:t>
      </w:r>
      <w:proofErr w:type="spellEnd"/>
      <w:r w:rsidRPr="00FB49D2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FB49D2">
        <w:rPr>
          <w:rFonts w:ascii="Arial" w:hAnsi="Arial" w:cs="Arial"/>
          <w:bCs/>
          <w:sz w:val="20"/>
          <w:szCs w:val="20"/>
        </w:rPr>
        <w:t>Rýzem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  <w:r w:rsidR="009E3B52" w:rsidRPr="00FB49D2">
        <w:rPr>
          <w:rFonts w:ascii="Arial" w:hAnsi="Arial" w:cs="Arial"/>
          <w:bCs/>
          <w:sz w:val="20"/>
          <w:szCs w:val="20"/>
        </w:rPr>
        <w:t xml:space="preserve"> blízkým spolupracovníkem Josefa Skupy</w:t>
      </w:r>
      <w:r>
        <w:rPr>
          <w:rFonts w:ascii="Arial" w:hAnsi="Arial" w:cs="Arial"/>
          <w:bCs/>
          <w:sz w:val="20"/>
          <w:szCs w:val="20"/>
        </w:rPr>
        <w:t>,“ dodává Jan Mikeš.</w:t>
      </w:r>
    </w:p>
    <w:p w:rsidR="00FB49D2" w:rsidRDefault="00A861F7" w:rsidP="00FB49D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Výstava chce také návštěvníkům připomenout stručnou historii loutkových divadel v českých zemích.</w:t>
      </w:r>
      <w:r w:rsidR="00F7047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Jeho kořeny sahají až do</w:t>
      </w:r>
      <w:r w:rsidR="00FB49D2" w:rsidRPr="00FB49D2">
        <w:rPr>
          <w:rFonts w:ascii="Arial" w:hAnsi="Arial" w:cs="Arial"/>
          <w:bCs/>
          <w:sz w:val="20"/>
          <w:szCs w:val="20"/>
        </w:rPr>
        <w:t xml:space="preserve"> 17. století</w:t>
      </w:r>
      <w:r>
        <w:rPr>
          <w:rFonts w:ascii="Arial" w:hAnsi="Arial" w:cs="Arial"/>
          <w:bCs/>
          <w:sz w:val="20"/>
          <w:szCs w:val="20"/>
        </w:rPr>
        <w:t>, kdy začali</w:t>
      </w:r>
      <w:r w:rsidRPr="00A861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naší zemí</w:t>
      </w:r>
      <w:r w:rsidR="00FB49D2" w:rsidRPr="00FB49D2">
        <w:rPr>
          <w:rFonts w:ascii="Arial" w:hAnsi="Arial" w:cs="Arial"/>
          <w:bCs/>
          <w:sz w:val="20"/>
          <w:szCs w:val="20"/>
        </w:rPr>
        <w:t xml:space="preserve"> puto</w:t>
      </w:r>
      <w:r>
        <w:rPr>
          <w:rFonts w:ascii="Arial" w:hAnsi="Arial" w:cs="Arial"/>
          <w:bCs/>
          <w:sz w:val="20"/>
          <w:szCs w:val="20"/>
        </w:rPr>
        <w:t>vat</w:t>
      </w:r>
      <w:r w:rsidR="00F70473">
        <w:rPr>
          <w:rFonts w:ascii="Arial" w:hAnsi="Arial" w:cs="Arial"/>
          <w:bCs/>
          <w:sz w:val="20"/>
          <w:szCs w:val="20"/>
        </w:rPr>
        <w:t xml:space="preserve"> kočovní loutkáři. N</w:t>
      </w:r>
      <w:r w:rsidR="00FB49D2" w:rsidRPr="00FB49D2">
        <w:rPr>
          <w:rFonts w:ascii="Arial" w:hAnsi="Arial" w:cs="Arial"/>
          <w:bCs/>
          <w:sz w:val="20"/>
          <w:szCs w:val="20"/>
        </w:rPr>
        <w:t>a sklonku 19. století se loutkové divadlo</w:t>
      </w:r>
      <w:r w:rsidR="00F70473" w:rsidRPr="00F70473">
        <w:rPr>
          <w:rFonts w:ascii="Arial" w:hAnsi="Arial" w:cs="Arial"/>
          <w:bCs/>
          <w:sz w:val="20"/>
          <w:szCs w:val="20"/>
        </w:rPr>
        <w:t xml:space="preserve"> </w:t>
      </w:r>
      <w:r w:rsidR="00F70473" w:rsidRPr="00FB49D2">
        <w:rPr>
          <w:rFonts w:ascii="Arial" w:hAnsi="Arial" w:cs="Arial"/>
          <w:bCs/>
          <w:sz w:val="20"/>
          <w:szCs w:val="20"/>
        </w:rPr>
        <w:t>přestěhovalo</w:t>
      </w:r>
      <w:r w:rsidR="00FB49D2" w:rsidRPr="00FB49D2">
        <w:rPr>
          <w:rFonts w:ascii="Arial" w:hAnsi="Arial" w:cs="Arial"/>
          <w:bCs/>
          <w:sz w:val="20"/>
          <w:szCs w:val="20"/>
        </w:rPr>
        <w:t xml:space="preserve"> z návsí, náměstí a hostinců i do vesnických chalup a měšťanských pokojů. Rozmach česky hraného loutkového divadla byl součástí národního obrození, a i díky tomu se rozšířilo v našich zemích tak jako nikde jinde v celé Evropě.</w:t>
      </w:r>
      <w:r w:rsidRPr="00A861F7">
        <w:rPr>
          <w:rFonts w:ascii="Arial" w:hAnsi="Arial" w:cs="Arial"/>
          <w:bCs/>
          <w:sz w:val="20"/>
          <w:szCs w:val="20"/>
        </w:rPr>
        <w:t xml:space="preserve"> </w:t>
      </w:r>
    </w:p>
    <w:p w:rsidR="00A861F7" w:rsidRDefault="00A861F7" w:rsidP="00A861F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B49D2">
        <w:rPr>
          <w:rFonts w:ascii="Arial" w:hAnsi="Arial" w:cs="Arial"/>
          <w:bCs/>
          <w:sz w:val="20"/>
          <w:szCs w:val="20"/>
        </w:rPr>
        <w:t xml:space="preserve">Součástí výstavy </w:t>
      </w:r>
      <w:r>
        <w:rPr>
          <w:rFonts w:ascii="Arial" w:hAnsi="Arial" w:cs="Arial"/>
          <w:bCs/>
          <w:sz w:val="20"/>
          <w:szCs w:val="20"/>
        </w:rPr>
        <w:t>je</w:t>
      </w:r>
      <w:r w:rsidRPr="00FB49D2">
        <w:rPr>
          <w:rFonts w:ascii="Arial" w:hAnsi="Arial" w:cs="Arial"/>
          <w:bCs/>
          <w:sz w:val="20"/>
          <w:szCs w:val="20"/>
        </w:rPr>
        <w:t xml:space="preserve"> také </w:t>
      </w:r>
      <w:r w:rsidRPr="007554AD">
        <w:rPr>
          <w:rFonts w:ascii="Arial" w:hAnsi="Arial" w:cs="Arial"/>
          <w:b/>
          <w:bCs/>
          <w:sz w:val="20"/>
          <w:szCs w:val="20"/>
        </w:rPr>
        <w:t>prostor pro dětské návštěvníky či jejich hravé rodiče</w:t>
      </w:r>
      <w:r w:rsidRPr="00FB49D2">
        <w:rPr>
          <w:rFonts w:ascii="Arial" w:hAnsi="Arial" w:cs="Arial"/>
          <w:bCs/>
          <w:sz w:val="20"/>
          <w:szCs w:val="20"/>
        </w:rPr>
        <w:t>. Sami si budou</w:t>
      </w:r>
      <w:r>
        <w:rPr>
          <w:rFonts w:ascii="Arial" w:hAnsi="Arial" w:cs="Arial"/>
          <w:bCs/>
          <w:sz w:val="20"/>
          <w:szCs w:val="20"/>
        </w:rPr>
        <w:t xml:space="preserve"> moci vyzkoušet zahrát divadlo</w:t>
      </w:r>
      <w:r w:rsidRPr="00FB49D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podle své</w:t>
      </w:r>
      <w:r w:rsidRPr="00FB49D2">
        <w:rPr>
          <w:rFonts w:ascii="Arial" w:hAnsi="Arial" w:cs="Arial"/>
          <w:bCs/>
          <w:sz w:val="20"/>
          <w:szCs w:val="20"/>
        </w:rPr>
        <w:t xml:space="preserve"> vlastní fantazie, či s pomocí úryvků kdysi ta</w:t>
      </w:r>
      <w:r>
        <w:rPr>
          <w:rFonts w:ascii="Arial" w:hAnsi="Arial" w:cs="Arial"/>
          <w:bCs/>
          <w:sz w:val="20"/>
          <w:szCs w:val="20"/>
        </w:rPr>
        <w:t xml:space="preserve">k populárních pohádkových her. </w:t>
      </w:r>
      <w:r w:rsidRPr="00FB49D2">
        <w:rPr>
          <w:rFonts w:ascii="Arial" w:hAnsi="Arial" w:cs="Arial"/>
          <w:bCs/>
          <w:sz w:val="20"/>
          <w:szCs w:val="20"/>
        </w:rPr>
        <w:t>Nezbývá, než</w:t>
      </w:r>
      <w:r>
        <w:rPr>
          <w:rFonts w:ascii="Arial" w:hAnsi="Arial" w:cs="Arial"/>
          <w:bCs/>
          <w:sz w:val="20"/>
          <w:szCs w:val="20"/>
        </w:rPr>
        <w:t xml:space="preserve"> se</w:t>
      </w:r>
      <w:r w:rsidRPr="00FB49D2">
        <w:rPr>
          <w:rFonts w:ascii="Arial" w:hAnsi="Arial" w:cs="Arial"/>
          <w:bCs/>
          <w:sz w:val="20"/>
          <w:szCs w:val="20"/>
        </w:rPr>
        <w:t xml:space="preserve"> vydat za oponu, do</w:t>
      </w:r>
      <w:r>
        <w:rPr>
          <w:rFonts w:ascii="Arial" w:hAnsi="Arial" w:cs="Arial"/>
          <w:bCs/>
          <w:sz w:val="20"/>
          <w:szCs w:val="20"/>
        </w:rPr>
        <w:t xml:space="preserve"> světa fantazie.</w:t>
      </w:r>
      <w:bookmarkStart w:id="1" w:name="_GoBack"/>
      <w:bookmarkEnd w:id="1"/>
    </w:p>
    <w:p w:rsidR="00A861F7" w:rsidRPr="00FB49D2" w:rsidRDefault="00A861F7" w:rsidP="00FB49D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3E60" w:rsidRDefault="00E13E60" w:rsidP="00EC42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>Více informací</w:t>
      </w:r>
      <w:r w:rsidR="00A861F7">
        <w:rPr>
          <w:rFonts w:ascii="Arial" w:hAnsi="Arial" w:cs="Arial"/>
          <w:iCs/>
          <w:sz w:val="18"/>
          <w:szCs w:val="20"/>
        </w:rPr>
        <w:t xml:space="preserve"> k zámku Dačice</w:t>
      </w:r>
      <w:r w:rsidRPr="00371810">
        <w:rPr>
          <w:rFonts w:ascii="Arial" w:hAnsi="Arial" w:cs="Arial"/>
          <w:iCs/>
          <w:sz w:val="18"/>
          <w:szCs w:val="20"/>
        </w:rPr>
        <w:t xml:space="preserve"> naleznete na webových stránkách</w:t>
      </w:r>
      <w:r w:rsidR="00725FBE">
        <w:rPr>
          <w:rFonts w:ascii="Arial" w:hAnsi="Arial" w:cs="Arial"/>
          <w:iCs/>
          <w:sz w:val="18"/>
          <w:szCs w:val="20"/>
        </w:rPr>
        <w:t xml:space="preserve"> </w:t>
      </w:r>
      <w:hyperlink r:id="rId7" w:history="1">
        <w:r w:rsidR="00A861F7" w:rsidRPr="00C45853">
          <w:rPr>
            <w:rStyle w:val="Hypertextovodkaz"/>
            <w:rFonts w:ascii="Arial" w:hAnsi="Arial" w:cs="Arial"/>
            <w:iCs/>
            <w:sz w:val="18"/>
            <w:szCs w:val="20"/>
          </w:rPr>
          <w:t>http://www.zamek-dacice.eu</w:t>
        </w:r>
      </w:hyperlink>
      <w:r w:rsidR="00A861F7">
        <w:rPr>
          <w:rFonts w:ascii="Arial" w:hAnsi="Arial" w:cs="Arial"/>
          <w:iCs/>
          <w:sz w:val="18"/>
          <w:szCs w:val="20"/>
        </w:rPr>
        <w:t xml:space="preserve"> </w:t>
      </w:r>
      <w:r w:rsidR="00DC4D3A">
        <w:rPr>
          <w:rFonts w:ascii="Arial" w:hAnsi="Arial" w:cs="Arial"/>
          <w:iCs/>
          <w:sz w:val="18"/>
          <w:szCs w:val="20"/>
        </w:rPr>
        <w:t>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E13E60" w:rsidRPr="00371810" w:rsidRDefault="00E13E60" w:rsidP="00EC4244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Rožmberk,Třeboň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9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E13E60" w:rsidRPr="008600F7" w:rsidRDefault="00E13E60" w:rsidP="00EC4244">
      <w:pPr>
        <w:jc w:val="both"/>
        <w:rPr>
          <w:sz w:val="28"/>
        </w:rPr>
      </w:pPr>
    </w:p>
    <w:p w:rsidR="00E13E60" w:rsidRDefault="00E13E60" w:rsidP="00EC424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6D3EBF" w:rsidRDefault="006D3EBF" w:rsidP="00EC424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13E60" w:rsidRPr="00145475" w:rsidRDefault="00E13E60" w:rsidP="00EC4244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lastRenderedPageBreak/>
        <w:t>Kontakty:</w:t>
      </w:r>
    </w:p>
    <w:p w:rsidR="00725FBE" w:rsidRDefault="00A861F7" w:rsidP="00C92048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A861F7">
        <w:rPr>
          <w:b/>
        </w:rPr>
        <w:t>Mgr. Tereza Petáková</w:t>
      </w:r>
      <w:r w:rsidR="00725FBE">
        <w:t xml:space="preserve">, </w:t>
      </w:r>
      <w:r w:rsidR="00C92048">
        <w:t>Oddělení vnějších vztahů, Národní muzeum</w:t>
      </w:r>
      <w:r w:rsidR="00725FBE">
        <w:t xml:space="preserve">, </w:t>
      </w:r>
      <w:r w:rsidR="00C92048" w:rsidRPr="00C92048">
        <w:t>724 412 255</w:t>
      </w:r>
      <w:r w:rsidR="00725FBE">
        <w:t xml:space="preserve">, </w:t>
      </w:r>
      <w:hyperlink r:id="rId10" w:history="1">
        <w:r w:rsidR="00C92048" w:rsidRPr="00C45853">
          <w:rPr>
            <w:rStyle w:val="Hypertextovodkaz"/>
          </w:rPr>
          <w:t>tereza_petakova@nm.cz</w:t>
        </w:r>
      </w:hyperlink>
      <w:r w:rsidR="00C92048">
        <w:t xml:space="preserve"> </w:t>
      </w:r>
      <w:r w:rsidR="00725FBE">
        <w:t xml:space="preserve"> </w:t>
      </w:r>
    </w:p>
    <w:p w:rsidR="00725FBE" w:rsidRDefault="00725FBE" w:rsidP="00C92048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</w:rPr>
      </w:pPr>
      <w:r w:rsidRPr="00AF43A3">
        <w:rPr>
          <w:b/>
        </w:rPr>
        <w:t>Mgr. Jan Mikeš</w:t>
      </w:r>
      <w:r>
        <w:t xml:space="preserve">, kastelán SZ Dačice, 606 795 806, </w:t>
      </w:r>
      <w:hyperlink r:id="rId11" w:history="1">
        <w:r w:rsidRPr="001A1978">
          <w:rPr>
            <w:rStyle w:val="Hypertextovodkaz"/>
          </w:rPr>
          <w:t>mikes.jan@npu.cz</w:t>
        </w:r>
      </w:hyperlink>
    </w:p>
    <w:p w:rsidR="00E13E60" w:rsidRDefault="00E13E60" w:rsidP="00EC4244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2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410A9F" w:rsidRDefault="00410A9F"/>
    <w:sectPr w:rsidR="00410A9F" w:rsidSect="00D85407">
      <w:headerReference w:type="default" r:id="rId13"/>
      <w:headerReference w:type="first" r:id="rId14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84" w:rsidRDefault="009C2384">
      <w:r>
        <w:separator/>
      </w:r>
    </w:p>
  </w:endnote>
  <w:endnote w:type="continuationSeparator" w:id="0">
    <w:p w:rsidR="009C2384" w:rsidRDefault="009C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84" w:rsidRDefault="009C2384">
      <w:r>
        <w:separator/>
      </w:r>
    </w:p>
  </w:footnote>
  <w:footnote w:type="continuationSeparator" w:id="0">
    <w:p w:rsidR="009C2384" w:rsidRDefault="009C2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9C2384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345008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A13E95">
      <w:rPr>
        <w:b/>
        <w:noProof/>
        <w:color w:val="FF0000"/>
      </w:rPr>
      <w:drawing>
        <wp:inline distT="0" distB="0" distL="0" distR="0">
          <wp:extent cx="2285576" cy="1053081"/>
          <wp:effectExtent l="0" t="0" r="635" b="0"/>
          <wp:docPr id="3" name="Obrázek 3" descr="LogoNM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NM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519" cy="105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A5C"/>
    <w:multiLevelType w:val="hybridMultilevel"/>
    <w:tmpl w:val="2520BB9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26F69"/>
    <w:multiLevelType w:val="hybridMultilevel"/>
    <w:tmpl w:val="C44C39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671E2"/>
    <w:multiLevelType w:val="hybridMultilevel"/>
    <w:tmpl w:val="A492F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848FF"/>
    <w:multiLevelType w:val="hybridMultilevel"/>
    <w:tmpl w:val="BA3658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B5AFB"/>
    <w:multiLevelType w:val="hybridMultilevel"/>
    <w:tmpl w:val="7AA463D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2C6ED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986251"/>
    <w:multiLevelType w:val="hybridMultilevel"/>
    <w:tmpl w:val="088062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FA25A2"/>
    <w:multiLevelType w:val="hybridMultilevel"/>
    <w:tmpl w:val="EE5A98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EB136F"/>
    <w:multiLevelType w:val="hybridMultilevel"/>
    <w:tmpl w:val="B456E6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2C6ED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2818AA"/>
    <w:multiLevelType w:val="hybridMultilevel"/>
    <w:tmpl w:val="E18441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60"/>
    <w:rsid w:val="000004C9"/>
    <w:rsid w:val="0009573E"/>
    <w:rsid w:val="000B3FE2"/>
    <w:rsid w:val="000B5223"/>
    <w:rsid w:val="00102E08"/>
    <w:rsid w:val="0017299C"/>
    <w:rsid w:val="001C0A90"/>
    <w:rsid w:val="00345008"/>
    <w:rsid w:val="003951CC"/>
    <w:rsid w:val="00410A9F"/>
    <w:rsid w:val="00452E11"/>
    <w:rsid w:val="004832F8"/>
    <w:rsid w:val="004D0175"/>
    <w:rsid w:val="004D1C7A"/>
    <w:rsid w:val="004D4A93"/>
    <w:rsid w:val="00573B69"/>
    <w:rsid w:val="006D3EBF"/>
    <w:rsid w:val="006E465F"/>
    <w:rsid w:val="00725FBE"/>
    <w:rsid w:val="007554AD"/>
    <w:rsid w:val="00761B7B"/>
    <w:rsid w:val="007E74C6"/>
    <w:rsid w:val="0086648F"/>
    <w:rsid w:val="009C2384"/>
    <w:rsid w:val="009E3B52"/>
    <w:rsid w:val="00A13E95"/>
    <w:rsid w:val="00A26D0C"/>
    <w:rsid w:val="00A34018"/>
    <w:rsid w:val="00A861F7"/>
    <w:rsid w:val="00A865CD"/>
    <w:rsid w:val="00A947A4"/>
    <w:rsid w:val="00B058B5"/>
    <w:rsid w:val="00B0789B"/>
    <w:rsid w:val="00C60084"/>
    <w:rsid w:val="00C849C6"/>
    <w:rsid w:val="00C92048"/>
    <w:rsid w:val="00CB5756"/>
    <w:rsid w:val="00CD5121"/>
    <w:rsid w:val="00DC4D3A"/>
    <w:rsid w:val="00DD57F5"/>
    <w:rsid w:val="00E13E60"/>
    <w:rsid w:val="00E5208D"/>
    <w:rsid w:val="00E76863"/>
    <w:rsid w:val="00EB3CB2"/>
    <w:rsid w:val="00EC4244"/>
    <w:rsid w:val="00F70473"/>
    <w:rsid w:val="00FB49D2"/>
    <w:rsid w:val="00FB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5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13E6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8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8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3E6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13E6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13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13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3E6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13E6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13E6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13E6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8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8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8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789B"/>
    <w:pPr>
      <w:ind w:left="720"/>
      <w:contextualSpacing/>
    </w:pPr>
  </w:style>
  <w:style w:type="paragraph" w:styleId="Normlnweb">
    <w:name w:val="Normal (Web)"/>
    <w:basedOn w:val="Normln"/>
    <w:semiHidden/>
    <w:rsid w:val="00A26D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A26D0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A13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E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E9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5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13E6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8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8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13E6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13E6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13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13E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3E6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13E6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13E6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13E6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13E60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05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8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8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8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0789B"/>
    <w:pPr>
      <w:ind w:left="720"/>
      <w:contextualSpacing/>
    </w:pPr>
  </w:style>
  <w:style w:type="paragraph" w:styleId="Normlnweb">
    <w:name w:val="Normal (Web)"/>
    <w:basedOn w:val="Normln"/>
    <w:semiHidden/>
    <w:rsid w:val="00A26D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A26D0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A13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E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E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cb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mek-dacice.eu" TargetMode="External"/><Relationship Id="rId12" Type="http://schemas.openxmlformats.org/officeDocument/2006/relationships/hyperlink" Target="mailto:skorepova.jitka@npu.cz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es.jan@npu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reza_petakova@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2015-06-05T10:17:00Z</dcterms:created>
  <dcterms:modified xsi:type="dcterms:W3CDTF">2015-06-05T10:17:00Z</dcterms:modified>
</cp:coreProperties>
</file>