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310" w:rsidRDefault="00FA5310" w:rsidP="00FA5310">
      <w:pPr>
        <w:pStyle w:val="Zhlav"/>
        <w:tabs>
          <w:tab w:val="clear" w:pos="4536"/>
          <w:tab w:val="clear" w:pos="9072"/>
          <w:tab w:val="left" w:pos="6750"/>
        </w:tabs>
      </w:pPr>
      <w:r>
        <w:tab/>
      </w:r>
    </w:p>
    <w:p w:rsidR="00FA5310" w:rsidRDefault="00FA5310" w:rsidP="00FA5310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FA5310" w:rsidRDefault="00FA5310" w:rsidP="00FA5310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FA5310" w:rsidRDefault="00FA5310" w:rsidP="00FA5310">
      <w:pPr>
        <w:autoSpaceDE w:val="0"/>
        <w:autoSpaceDN w:val="0"/>
        <w:adjustRightInd w:val="0"/>
        <w:spacing w:after="120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Obliba památek na Vysočině roste</w:t>
      </w:r>
    </w:p>
    <w:p w:rsidR="00FA5310" w:rsidRDefault="00FA5310" w:rsidP="00FA5310">
      <w:pPr>
        <w:pStyle w:val="Nadpis3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 9. 1. 2015</w:t>
      </w:r>
    </w:p>
    <w:bookmarkEnd w:id="0"/>
    <w:p w:rsidR="00FA5310" w:rsidRDefault="00FA5310" w:rsidP="00FA531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Téměř dvě stě tisíc lidí prošlo v roce 2014 branami památek na Vysočině, které spravuje Národní památkový ústav. </w:t>
      </w:r>
      <w:r>
        <w:rPr>
          <w:rFonts w:ascii="Arial" w:hAnsi="Arial" w:cs="Arial"/>
          <w:b/>
          <w:bCs/>
          <w:sz w:val="20"/>
          <w:szCs w:val="20"/>
        </w:rPr>
        <w:t xml:space="preserve">Téměř </w:t>
      </w:r>
      <w:r>
        <w:rPr>
          <w:rFonts w:ascii="Arial" w:hAnsi="Arial" w:cs="Arial"/>
          <w:b/>
          <w:bCs/>
          <w:sz w:val="20"/>
          <w:szCs w:val="20"/>
        </w:rPr>
        <w:t>sedmi</w:t>
      </w:r>
      <w:r>
        <w:rPr>
          <w:rFonts w:ascii="Arial" w:hAnsi="Arial" w:cs="Arial"/>
          <w:b/>
          <w:bCs/>
          <w:sz w:val="20"/>
          <w:szCs w:val="20"/>
        </w:rPr>
        <w:t>procentní nárůst zájmu způsobila lákavá kulturní nabídka, příznivé počasí a větší zalíbení v tuzemské turistice.</w:t>
      </w:r>
    </w:p>
    <w:p w:rsidR="00FA5310" w:rsidRDefault="00FA5310" w:rsidP="00FA5310">
      <w:pPr>
        <w:rPr>
          <w:rFonts w:ascii="Arial" w:hAnsi="Arial" w:cs="Arial"/>
          <w:b/>
          <w:bCs/>
          <w:sz w:val="20"/>
          <w:szCs w:val="20"/>
        </w:rPr>
      </w:pPr>
    </w:p>
    <w:p w:rsidR="00FA5310" w:rsidRDefault="00FA5310" w:rsidP="00FA53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Celková návštěvnost památek na Vysočině, které spravuje Národní památkový ústav, územní památková správa v Českých Budějovicích, se vyšplhala na </w:t>
      </w:r>
      <w:r w:rsidRPr="00FA5310">
        <w:rPr>
          <w:rFonts w:ascii="Arial" w:hAnsi="Arial" w:cs="Arial"/>
          <w:b/>
          <w:sz w:val="20"/>
          <w:szCs w:val="20"/>
        </w:rPr>
        <w:t>193 446 osob</w:t>
      </w:r>
      <w:r>
        <w:rPr>
          <w:rFonts w:ascii="Arial" w:hAnsi="Arial" w:cs="Arial"/>
          <w:sz w:val="20"/>
          <w:szCs w:val="20"/>
        </w:rPr>
        <w:t>. To je oproti předchozímu roku nárůst o 6,58 procent. Na celkovém čísle se až do konce srpna podílel také počet návštěvníků, kteří zamířili na prohlídku poutního areálu sv. Jana Nepomuckého na Zelené hoře u Žďáru nad Sázavou. Od 28. srpna 2014 je areál ve správě církve.</w:t>
      </w:r>
    </w:p>
    <w:p w:rsidR="00FA5310" w:rsidRDefault="00FA5310" w:rsidP="00FA5310">
      <w:pPr>
        <w:rPr>
          <w:rFonts w:ascii="Arial" w:hAnsi="Arial" w:cs="Arial"/>
          <w:sz w:val="20"/>
          <w:szCs w:val="20"/>
        </w:rPr>
      </w:pPr>
    </w:p>
    <w:p w:rsidR="00FA5310" w:rsidRDefault="00FA5310" w:rsidP="00FA53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výsluní nejnavštěvovanější</w:t>
      </w:r>
      <w:r>
        <w:rPr>
          <w:rFonts w:ascii="Arial" w:hAnsi="Arial" w:cs="Arial"/>
          <w:sz w:val="20"/>
          <w:szCs w:val="20"/>
        </w:rPr>
        <w:t>ch vysočinských památek se již tradičně vyhřívá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Z </w:t>
      </w:r>
      <w:r>
        <w:rPr>
          <w:rFonts w:ascii="Arial" w:hAnsi="Arial" w:cs="Arial"/>
          <w:sz w:val="20"/>
          <w:szCs w:val="20"/>
        </w:rPr>
        <w:t>Telč</w:t>
      </w:r>
      <w:r>
        <w:rPr>
          <w:rFonts w:ascii="Arial" w:hAnsi="Arial" w:cs="Arial"/>
          <w:sz w:val="20"/>
          <w:szCs w:val="20"/>
        </w:rPr>
        <w:t>, jehož brány překročilo</w:t>
      </w:r>
      <w:r w:rsidR="00C756B1">
        <w:rPr>
          <w:rFonts w:ascii="Arial" w:hAnsi="Arial" w:cs="Arial"/>
          <w:sz w:val="20"/>
          <w:szCs w:val="20"/>
        </w:rPr>
        <w:t xml:space="preserve"> bezmála sto tisíc</w:t>
      </w:r>
      <w:r>
        <w:rPr>
          <w:rFonts w:ascii="Arial" w:hAnsi="Arial" w:cs="Arial"/>
          <w:sz w:val="20"/>
          <w:szCs w:val="20"/>
        </w:rPr>
        <w:t xml:space="preserve"> </w:t>
      </w:r>
      <w:r w:rsidR="00C756B1">
        <w:rPr>
          <w:rFonts w:ascii="Arial" w:hAnsi="Arial" w:cs="Arial"/>
          <w:sz w:val="20"/>
          <w:szCs w:val="20"/>
        </w:rPr>
        <w:t>osob</w:t>
      </w:r>
      <w:r>
        <w:rPr>
          <w:rFonts w:ascii="Arial" w:hAnsi="Arial" w:cs="Arial"/>
          <w:sz w:val="20"/>
          <w:szCs w:val="20"/>
        </w:rPr>
        <w:t xml:space="preserve">. Druhou pozici nemění ani SZ </w:t>
      </w:r>
      <w:r w:rsidR="00C756B1">
        <w:rPr>
          <w:rFonts w:ascii="Arial" w:hAnsi="Arial" w:cs="Arial"/>
          <w:sz w:val="20"/>
          <w:szCs w:val="20"/>
        </w:rPr>
        <w:t>Jaroměřice nad Rokytnou</w:t>
      </w:r>
      <w:r>
        <w:rPr>
          <w:rFonts w:ascii="Arial" w:hAnsi="Arial" w:cs="Arial"/>
          <w:sz w:val="20"/>
          <w:szCs w:val="20"/>
        </w:rPr>
        <w:t xml:space="preserve"> se svými letošními </w:t>
      </w:r>
      <w:r w:rsidR="00C756B1">
        <w:rPr>
          <w:rFonts w:ascii="Arial" w:hAnsi="Arial" w:cs="Arial"/>
          <w:sz w:val="20"/>
          <w:szCs w:val="20"/>
        </w:rPr>
        <w:t>29 530</w:t>
      </w:r>
      <w:r>
        <w:rPr>
          <w:rFonts w:ascii="Arial" w:hAnsi="Arial" w:cs="Arial"/>
          <w:sz w:val="20"/>
          <w:szCs w:val="20"/>
        </w:rPr>
        <w:t xml:space="preserve"> návštěvníky. V meziročním srovnání se může procentuálně nejvyšším vzestupem v návštěvnosti </w:t>
      </w:r>
      <w:r w:rsidR="00C756B1">
        <w:rPr>
          <w:rFonts w:ascii="Arial" w:hAnsi="Arial" w:cs="Arial"/>
          <w:sz w:val="20"/>
          <w:szCs w:val="20"/>
        </w:rPr>
        <w:t>(o 21</w:t>
      </w:r>
      <w:r>
        <w:rPr>
          <w:rFonts w:ascii="Arial" w:hAnsi="Arial" w:cs="Arial"/>
          <w:sz w:val="20"/>
          <w:szCs w:val="20"/>
        </w:rPr>
        <w:t xml:space="preserve"> %) pyšnit S</w:t>
      </w:r>
      <w:r w:rsidR="00C756B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</w:t>
      </w:r>
      <w:r w:rsidR="00C756B1">
        <w:rPr>
          <w:rFonts w:ascii="Arial" w:hAnsi="Arial" w:cs="Arial"/>
          <w:sz w:val="20"/>
          <w:szCs w:val="20"/>
        </w:rPr>
        <w:t>Lipnice</w:t>
      </w:r>
      <w:r>
        <w:rPr>
          <w:rFonts w:ascii="Arial" w:hAnsi="Arial" w:cs="Arial"/>
          <w:sz w:val="20"/>
          <w:szCs w:val="20"/>
        </w:rPr>
        <w:t xml:space="preserve">, jehož krásy obdivovalo </w:t>
      </w:r>
      <w:r w:rsidR="00C756B1">
        <w:rPr>
          <w:rFonts w:ascii="Arial" w:hAnsi="Arial" w:cs="Arial"/>
          <w:sz w:val="20"/>
          <w:szCs w:val="20"/>
        </w:rPr>
        <w:t>27 070</w:t>
      </w:r>
      <w:r>
        <w:rPr>
          <w:rFonts w:ascii="Arial" w:hAnsi="Arial" w:cs="Arial"/>
          <w:sz w:val="20"/>
          <w:szCs w:val="20"/>
        </w:rPr>
        <w:t xml:space="preserve"> zájemců. (Podrobný přehled návštěvnosti viz Příloha č. 1)</w:t>
      </w:r>
    </w:p>
    <w:p w:rsidR="00FA5310" w:rsidRDefault="00FA5310" w:rsidP="00FA5310">
      <w:pPr>
        <w:rPr>
          <w:rFonts w:ascii="Arial" w:hAnsi="Arial" w:cs="Arial"/>
          <w:sz w:val="20"/>
          <w:szCs w:val="20"/>
        </w:rPr>
      </w:pPr>
    </w:p>
    <w:p w:rsidR="00FA5310" w:rsidRDefault="00FA5310" w:rsidP="00FA531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Loňská návštěvnická sezóna patří k velmi úspěšným. „K rekordní návštěvnosti přispělo několik souběžných faktorů. Kromě pestré kulturní nabídky všech památek sehrálo roli velmi příznivé počasí, ale také nový zájem návštěvníků o domácí památky,“ shrnuje důvody úspěchu Petr Pavelec, ředitel Národního památkového ústavu, územní památkové správy v Českých Budějovicích.</w:t>
      </w:r>
    </w:p>
    <w:p w:rsidR="00FA5310" w:rsidRDefault="00FA5310" w:rsidP="00FA5310">
      <w:pPr>
        <w:rPr>
          <w:rFonts w:ascii="Arial" w:hAnsi="Arial" w:cs="Arial"/>
          <w:sz w:val="20"/>
          <w:szCs w:val="20"/>
        </w:rPr>
      </w:pPr>
    </w:p>
    <w:p w:rsidR="00FA5310" w:rsidRPr="00B27C6A" w:rsidRDefault="00FA5310" w:rsidP="00FA5310">
      <w:pPr>
        <w:rPr>
          <w:rFonts w:ascii="Arial" w:hAnsi="Arial" w:cs="Arial"/>
          <w:sz w:val="20"/>
          <w:szCs w:val="20"/>
        </w:rPr>
      </w:pPr>
    </w:p>
    <w:p w:rsidR="00FA5310" w:rsidRPr="003821D2" w:rsidRDefault="00FA5310" w:rsidP="00FA5310">
      <w:pPr>
        <w:rPr>
          <w:rFonts w:ascii="Arial" w:hAnsi="Arial" w:cs="Arial"/>
          <w:bCs/>
          <w:sz w:val="20"/>
          <w:szCs w:val="28"/>
        </w:rPr>
      </w:pPr>
    </w:p>
    <w:p w:rsidR="00FA5310" w:rsidRDefault="00FA5310" w:rsidP="00FA5310">
      <w:pPr>
        <w:pStyle w:val="Zkladntextodsazen"/>
        <w:autoSpaceDE/>
        <w:autoSpaceDN/>
        <w:adjustRightInd/>
        <w:spacing w:after="120" w:line="240" w:lineRule="auto"/>
        <w:ind w:firstLine="0"/>
        <w:jc w:val="center"/>
        <w:rPr>
          <w:szCs w:val="18"/>
        </w:rPr>
      </w:pPr>
      <w:r>
        <w:rPr>
          <w:szCs w:val="18"/>
        </w:rPr>
        <w:t>***</w:t>
      </w:r>
    </w:p>
    <w:p w:rsidR="00FA5310" w:rsidRDefault="00FA5310" w:rsidP="00FA5310">
      <w:pPr>
        <w:pStyle w:val="Prosttex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Kontakty:</w:t>
      </w:r>
    </w:p>
    <w:p w:rsidR="00FA5310" w:rsidRPr="0000085F" w:rsidRDefault="00FA5310" w:rsidP="00FA5310">
      <w:pPr>
        <w:pStyle w:val="Zkladntextodsazen"/>
        <w:autoSpaceDE/>
        <w:autoSpaceDN/>
        <w:adjustRightInd/>
        <w:spacing w:line="240" w:lineRule="auto"/>
        <w:ind w:firstLine="0"/>
      </w:pPr>
      <w:r w:rsidRPr="00DD5F98">
        <w:rPr>
          <w:b/>
        </w:rPr>
        <w:t>Mgr. Petr Pavelec, Ph.D.</w:t>
      </w:r>
      <w:r>
        <w:t xml:space="preserve">, </w:t>
      </w:r>
      <w:r>
        <w:rPr>
          <w:bCs/>
        </w:rPr>
        <w:t xml:space="preserve">ředitel, NPÚ ÚPS České Budějovice, 607 661 967, </w:t>
      </w:r>
      <w:hyperlink r:id="rId5" w:history="1">
        <w:r w:rsidRPr="005E7BB6">
          <w:rPr>
            <w:rStyle w:val="Hypertextovodkaz"/>
            <w:bCs/>
          </w:rPr>
          <w:t>pavelec.petr@npu.cz</w:t>
        </w:r>
      </w:hyperlink>
      <w:r>
        <w:rPr>
          <w:bCs/>
        </w:rPr>
        <w:t xml:space="preserve"> </w:t>
      </w:r>
      <w:r>
        <w:t xml:space="preserve"> </w:t>
      </w:r>
    </w:p>
    <w:p w:rsidR="00FA5310" w:rsidRDefault="00FA5310" w:rsidP="00FA5310">
      <w:pPr>
        <w:pStyle w:val="Zkladntextodsazen"/>
        <w:autoSpaceDE/>
        <w:autoSpaceDN/>
        <w:adjustRightInd/>
        <w:spacing w:line="240" w:lineRule="auto"/>
        <w:ind w:firstLine="0"/>
        <w:rPr>
          <w:szCs w:val="18"/>
        </w:rPr>
      </w:pPr>
      <w:r>
        <w:rPr>
          <w:b/>
          <w:bCs/>
        </w:rPr>
        <w:t>Mgr. Jitka Skořepová</w:t>
      </w:r>
      <w:r>
        <w:t xml:space="preserve">, PR, vztahy k veřejnosti, NPÚ ÚPS České Budějovice, 386 356 921, 602 626 736, </w:t>
      </w:r>
      <w:hyperlink r:id="rId6" w:history="1">
        <w:r w:rsidRPr="00616ECF">
          <w:rPr>
            <w:rStyle w:val="Hypertextovodkaz"/>
            <w:rFonts w:eastAsia="Calibri"/>
          </w:rPr>
          <w:t>skorepova.jitka@npu.cz</w:t>
        </w:r>
      </w:hyperlink>
    </w:p>
    <w:p w:rsidR="00FA5310" w:rsidRDefault="00FA5310" w:rsidP="00FA5310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8"/>
          <w:szCs w:val="20"/>
        </w:rPr>
      </w:pPr>
    </w:p>
    <w:p w:rsidR="00FA5310" w:rsidRDefault="00FA5310" w:rsidP="00FA5310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 xml:space="preserve">Více informací naleznete na webových stránkách </w:t>
      </w:r>
      <w:hyperlink r:id="rId7" w:history="1">
        <w:r w:rsidRPr="005E7BB6">
          <w:rPr>
            <w:rStyle w:val="Hypertextovodkaz"/>
            <w:rFonts w:ascii="Arial" w:eastAsia="Calibri" w:hAnsi="Arial" w:cs="Arial"/>
            <w:b/>
            <w:bCs/>
            <w:i/>
            <w:iCs/>
            <w:sz w:val="18"/>
            <w:szCs w:val="18"/>
          </w:rPr>
          <w:t>www.npu-cb.eu</w:t>
        </w:r>
      </w:hyperlink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a webech jednotlivých objektů.</w:t>
      </w:r>
      <w:r>
        <w:rPr>
          <w:rFonts w:ascii="Arial" w:hAnsi="Arial" w:cs="Arial"/>
          <w:b/>
          <w:bCs/>
          <w:i/>
          <w:iCs/>
          <w:sz w:val="18"/>
          <w:szCs w:val="20"/>
        </w:rPr>
        <w:t xml:space="preserve">  </w:t>
      </w:r>
    </w:p>
    <w:p w:rsidR="00FA5310" w:rsidRPr="008600F7" w:rsidRDefault="00FA5310" w:rsidP="00FA5310">
      <w:pPr>
        <w:pStyle w:val="Zkladntext3"/>
        <w:spacing w:line="240" w:lineRule="auto"/>
        <w:rPr>
          <w:bCs/>
          <w:i/>
          <w:iCs/>
          <w:sz w:val="16"/>
          <w:szCs w:val="16"/>
        </w:rPr>
      </w:pPr>
      <w:r w:rsidRPr="008600F7">
        <w:rPr>
          <w:b/>
          <w:bCs/>
          <w:i/>
          <w:iCs/>
          <w:sz w:val="16"/>
          <w:szCs w:val="16"/>
        </w:rPr>
        <w:t>Národní památkový ústav, územní památková správa v Českých Budějovicích</w:t>
      </w:r>
      <w:r w:rsidRPr="008600F7">
        <w:rPr>
          <w:bCs/>
          <w:i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</w:t>
      </w:r>
      <w:r>
        <w:rPr>
          <w:bCs/>
          <w:i/>
          <w:iCs/>
          <w:sz w:val="16"/>
          <w:szCs w:val="16"/>
        </w:rPr>
        <w:t>ských Budějovicích se stará o 30</w:t>
      </w:r>
      <w:r w:rsidRPr="008600F7">
        <w:rPr>
          <w:bCs/>
          <w:i/>
          <w:iCs/>
          <w:sz w:val="16"/>
          <w:szCs w:val="16"/>
        </w:rPr>
        <w:t xml:space="preserve"> památkových areálů na území Jihočeského kraje, Plzeňského kraje a Kraje Vysočina. Má na starosti hrady a zámky Červená Lhota, Český Krumlov, Dačice, Hluboká, Jindřichův Hradec, Kratochvíle, Landštejn, Nové Hrady, </w:t>
      </w:r>
      <w:proofErr w:type="spellStart"/>
      <w:proofErr w:type="gramStart"/>
      <w:r w:rsidRPr="008600F7">
        <w:rPr>
          <w:bCs/>
          <w:i/>
          <w:iCs/>
          <w:sz w:val="16"/>
          <w:szCs w:val="16"/>
        </w:rPr>
        <w:t>Rožmberk,Třeboň</w:t>
      </w:r>
      <w:proofErr w:type="spellEnd"/>
      <w:proofErr w:type="gramEnd"/>
      <w:r w:rsidRPr="008600F7">
        <w:rPr>
          <w:bCs/>
          <w:i/>
          <w:iCs/>
          <w:sz w:val="16"/>
          <w:szCs w:val="16"/>
        </w:rPr>
        <w:t xml:space="preserve"> s hrobkou </w:t>
      </w:r>
      <w:proofErr w:type="spellStart"/>
      <w:r w:rsidRPr="008600F7">
        <w:rPr>
          <w:bCs/>
          <w:i/>
          <w:iCs/>
          <w:sz w:val="16"/>
          <w:szCs w:val="16"/>
        </w:rPr>
        <w:t>Domanín,</w:t>
      </w:r>
      <w:r>
        <w:rPr>
          <w:bCs/>
          <w:i/>
          <w:iCs/>
          <w:sz w:val="16"/>
          <w:szCs w:val="16"/>
        </w:rPr>
        <w:t>Vimperk</w:t>
      </w:r>
      <w:proofErr w:type="spellEnd"/>
      <w:r>
        <w:rPr>
          <w:bCs/>
          <w:i/>
          <w:iCs/>
          <w:sz w:val="16"/>
          <w:szCs w:val="16"/>
        </w:rPr>
        <w:t>,</w:t>
      </w:r>
      <w:r w:rsidRPr="008600F7">
        <w:rPr>
          <w:bCs/>
          <w:i/>
          <w:iCs/>
          <w:sz w:val="16"/>
          <w:szCs w:val="16"/>
        </w:rPr>
        <w:t xml:space="preserve"> Zvíkov, Červené Poříčí, </w:t>
      </w:r>
      <w:proofErr w:type="spellStart"/>
      <w:r w:rsidRPr="008600F7">
        <w:rPr>
          <w:bCs/>
          <w:i/>
          <w:iCs/>
          <w:sz w:val="16"/>
          <w:szCs w:val="16"/>
        </w:rPr>
        <w:t>Gutštejn</w:t>
      </w:r>
      <w:proofErr w:type="spellEnd"/>
      <w:r w:rsidRPr="008600F7">
        <w:rPr>
          <w:bCs/>
          <w:i/>
          <w:iCs/>
          <w:sz w:val="16"/>
          <w:szCs w:val="16"/>
        </w:rPr>
        <w:t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</w:t>
      </w:r>
      <w:r>
        <w:rPr>
          <w:bCs/>
          <w:i/>
          <w:iCs/>
          <w:sz w:val="16"/>
          <w:szCs w:val="16"/>
        </w:rPr>
        <w:t xml:space="preserve"> </w:t>
      </w:r>
      <w:hyperlink r:id="rId8" w:history="1">
        <w:r w:rsidRPr="008600F7">
          <w:rPr>
            <w:rStyle w:val="Hypertextovodkaz"/>
            <w:bCs/>
            <w:i/>
            <w:iCs/>
            <w:sz w:val="16"/>
            <w:szCs w:val="16"/>
          </w:rPr>
          <w:t>www.npu.cz</w:t>
        </w:r>
      </w:hyperlink>
      <w:r w:rsidRPr="008600F7">
        <w:rPr>
          <w:bCs/>
          <w:i/>
          <w:iCs/>
          <w:sz w:val="16"/>
          <w:szCs w:val="16"/>
        </w:rPr>
        <w:t xml:space="preserve">. </w:t>
      </w:r>
    </w:p>
    <w:p w:rsidR="00FA5310" w:rsidRPr="008600F7" w:rsidRDefault="00FA5310" w:rsidP="00FA5310">
      <w:pPr>
        <w:rPr>
          <w:sz w:val="28"/>
        </w:rPr>
      </w:pPr>
    </w:p>
    <w:p w:rsidR="00FA5310" w:rsidRDefault="00FA5310" w:rsidP="00FA5310"/>
    <w:p w:rsidR="00FA5310" w:rsidRDefault="00FA5310" w:rsidP="00FA5310">
      <w:pPr>
        <w:sectPr w:rsidR="00FA5310" w:rsidSect="000E5F75">
          <w:headerReference w:type="default" r:id="rId9"/>
          <w:headerReference w:type="first" r:id="rId10"/>
          <w:pgSz w:w="11906" w:h="16838"/>
          <w:pgMar w:top="1418" w:right="1418" w:bottom="993" w:left="1418" w:header="709" w:footer="709" w:gutter="0"/>
          <w:cols w:space="708"/>
          <w:titlePg/>
          <w:docGrid w:linePitch="360"/>
        </w:sectPr>
      </w:pPr>
    </w:p>
    <w:p w:rsidR="00FA5310" w:rsidRDefault="00FA5310" w:rsidP="00FA5310"/>
    <w:p w:rsidR="00FA5310" w:rsidRDefault="00FA5310" w:rsidP="00FA5310"/>
    <w:p w:rsidR="00FA5310" w:rsidRDefault="00FA5310" w:rsidP="00FA5310"/>
    <w:p w:rsidR="00FA5310" w:rsidRDefault="00FA5310" w:rsidP="00FA5310">
      <w:pPr>
        <w:rPr>
          <w:rFonts w:ascii="Arial" w:hAnsi="Arial" w:cs="Arial"/>
          <w:b/>
          <w:sz w:val="20"/>
        </w:rPr>
      </w:pPr>
      <w:r w:rsidRPr="00DB0705">
        <w:rPr>
          <w:rFonts w:ascii="Arial" w:hAnsi="Arial" w:cs="Arial"/>
          <w:b/>
          <w:sz w:val="20"/>
        </w:rPr>
        <w:t>Příloha č. 1</w:t>
      </w:r>
    </w:p>
    <w:p w:rsidR="00FA5310" w:rsidRDefault="00FA5310" w:rsidP="00FA5310">
      <w:pPr>
        <w:rPr>
          <w:rFonts w:ascii="Arial" w:hAnsi="Arial" w:cs="Arial"/>
          <w:b/>
          <w:sz w:val="20"/>
        </w:rPr>
      </w:pPr>
    </w:p>
    <w:p w:rsidR="00FA5310" w:rsidRDefault="00FA5310" w:rsidP="00FA5310">
      <w:pPr>
        <w:jc w:val="center"/>
        <w:rPr>
          <w:rFonts w:ascii="Arial" w:hAnsi="Arial" w:cs="Arial"/>
          <w:b/>
        </w:rPr>
      </w:pPr>
      <w:r w:rsidRPr="00DB0705">
        <w:rPr>
          <w:rFonts w:ascii="Arial" w:hAnsi="Arial" w:cs="Arial"/>
          <w:b/>
        </w:rPr>
        <w:t>Návštěvnost na památkách</w:t>
      </w:r>
      <w:r w:rsidR="00C756B1">
        <w:rPr>
          <w:rFonts w:ascii="Arial" w:hAnsi="Arial" w:cs="Arial"/>
          <w:b/>
        </w:rPr>
        <w:t xml:space="preserve"> Vysočiny</w:t>
      </w:r>
      <w:r w:rsidRPr="00DB07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leden - prosinec </w:t>
      </w:r>
      <w:r w:rsidRPr="00DB0705">
        <w:rPr>
          <w:rFonts w:ascii="Arial" w:hAnsi="Arial" w:cs="Arial"/>
          <w:b/>
        </w:rPr>
        <w:t>2014</w:t>
      </w:r>
    </w:p>
    <w:p w:rsidR="00FA5310" w:rsidRDefault="00FA5310" w:rsidP="00FA5310">
      <w:pPr>
        <w:jc w:val="center"/>
        <w:rPr>
          <w:rFonts w:ascii="Arial" w:hAnsi="Arial" w:cs="Arial"/>
          <w:b/>
        </w:rPr>
      </w:pPr>
    </w:p>
    <w:p w:rsidR="00FA5310" w:rsidRDefault="00FA5310" w:rsidP="00FA5310">
      <w:pPr>
        <w:jc w:val="center"/>
        <w:rPr>
          <w:rFonts w:ascii="Arial" w:hAnsi="Arial" w:cs="Arial"/>
          <w:sz w:val="20"/>
        </w:rPr>
      </w:pPr>
    </w:p>
    <w:p w:rsidR="00FA5310" w:rsidRDefault="00FA5310" w:rsidP="00FA5310">
      <w:pPr>
        <w:rPr>
          <w:rFonts w:ascii="Arial" w:hAnsi="Arial" w:cs="Arial"/>
          <w:sz w:val="20"/>
        </w:rPr>
      </w:pPr>
    </w:p>
    <w:tbl>
      <w:tblPr>
        <w:tblW w:w="120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60"/>
        <w:gridCol w:w="2460"/>
        <w:gridCol w:w="2460"/>
        <w:gridCol w:w="2700"/>
      </w:tblGrid>
      <w:tr w:rsidR="00C756B1" w:rsidRPr="00C756B1" w:rsidTr="00C756B1">
        <w:trPr>
          <w:trHeight w:val="315"/>
          <w:jc w:val="center"/>
        </w:trPr>
        <w:tc>
          <w:tcPr>
            <w:tcW w:w="2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C756B1">
              <w:rPr>
                <w:rFonts w:ascii="Arial CE" w:hAnsi="Arial CE" w:cs="Arial CE"/>
                <w:b/>
                <w:bCs/>
                <w:i/>
                <w:iCs/>
              </w:rPr>
              <w:t>Objekt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C756B1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C756B1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C756B1">
              <w:rPr>
                <w:rFonts w:ascii="Arial CE" w:hAnsi="Arial CE" w:cs="Arial CE"/>
                <w:b/>
                <w:bCs/>
                <w:i/>
                <w:iCs/>
              </w:rPr>
              <w:t>vybrané vstupné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C756B1">
              <w:rPr>
                <w:rFonts w:ascii="Arial CE" w:hAnsi="Arial CE" w:cs="Arial CE"/>
                <w:b/>
                <w:bCs/>
                <w:i/>
                <w:iCs/>
              </w:rPr>
              <w:t>vybrané vstupné</w:t>
            </w:r>
          </w:p>
        </w:tc>
      </w:tr>
      <w:tr w:rsidR="00C756B1" w:rsidRPr="00C756B1" w:rsidTr="00C756B1">
        <w:trPr>
          <w:trHeight w:val="315"/>
          <w:jc w:val="center"/>
        </w:trPr>
        <w:tc>
          <w:tcPr>
            <w:tcW w:w="22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756B1" w:rsidRPr="00C756B1" w:rsidRDefault="00C756B1" w:rsidP="00C756B1">
            <w:pPr>
              <w:rPr>
                <w:rFonts w:ascii="Arial CE" w:hAnsi="Arial CE" w:cs="Arial CE"/>
                <w:b/>
                <w:bCs/>
                <w:i/>
                <w:iCs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C756B1">
              <w:rPr>
                <w:rFonts w:ascii="Arial CE" w:hAnsi="Arial CE" w:cs="Arial CE"/>
                <w:b/>
                <w:bCs/>
                <w:i/>
                <w:iCs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C756B1">
              <w:rPr>
                <w:rFonts w:ascii="Arial CE" w:hAnsi="Arial CE" w:cs="Arial CE"/>
                <w:b/>
                <w:bCs/>
                <w:i/>
                <w:iCs/>
              </w:rPr>
              <w:t>2014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C756B1">
              <w:rPr>
                <w:rFonts w:ascii="Arial CE" w:hAnsi="Arial CE" w:cs="Arial CE"/>
                <w:b/>
                <w:bCs/>
                <w:i/>
                <w:iCs/>
              </w:rPr>
              <w:t>2013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C756B1">
              <w:rPr>
                <w:rFonts w:ascii="Arial CE" w:hAnsi="Arial CE" w:cs="Arial CE"/>
                <w:b/>
                <w:bCs/>
                <w:i/>
                <w:iCs/>
              </w:rPr>
              <w:t>2014</w:t>
            </w:r>
          </w:p>
        </w:tc>
      </w:tr>
      <w:tr w:rsidR="00C756B1" w:rsidRPr="00C756B1" w:rsidTr="00C756B1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rPr>
                <w:rFonts w:ascii="Arial CE" w:hAnsi="Arial CE" w:cs="Arial CE"/>
                <w:b/>
                <w:bCs/>
              </w:rPr>
            </w:pPr>
            <w:r w:rsidRPr="00C756B1">
              <w:rPr>
                <w:rFonts w:ascii="Arial CE" w:hAnsi="Arial CE" w:cs="Arial CE"/>
                <w:b/>
                <w:bCs/>
              </w:rPr>
              <w:t>Jaroměřice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30 055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29 530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1 711 012,50</w:t>
            </w:r>
          </w:p>
        </w:tc>
        <w:tc>
          <w:tcPr>
            <w:tcW w:w="27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1 676 125,00</w:t>
            </w:r>
          </w:p>
        </w:tc>
      </w:tr>
      <w:tr w:rsidR="00C756B1" w:rsidRPr="00C756B1" w:rsidTr="00C756B1">
        <w:trPr>
          <w:trHeight w:val="315"/>
          <w:jc w:val="center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rPr>
                <w:rFonts w:ascii="Arial CE" w:hAnsi="Arial CE" w:cs="Arial CE"/>
                <w:b/>
                <w:bCs/>
              </w:rPr>
            </w:pPr>
            <w:r w:rsidRPr="00C756B1">
              <w:rPr>
                <w:rFonts w:ascii="Arial CE" w:hAnsi="Arial CE" w:cs="Arial CE"/>
                <w:b/>
                <w:bCs/>
              </w:rPr>
              <w:t>Lipnice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22 403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27 070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947 440,00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1 120 920,00</w:t>
            </w:r>
          </w:p>
        </w:tc>
      </w:tr>
      <w:tr w:rsidR="00C756B1" w:rsidRPr="00C756B1" w:rsidTr="00C756B1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rPr>
                <w:rFonts w:ascii="Arial CE" w:hAnsi="Arial CE" w:cs="Arial CE"/>
                <w:b/>
                <w:bCs/>
              </w:rPr>
            </w:pPr>
            <w:r w:rsidRPr="00C756B1">
              <w:rPr>
                <w:rFonts w:ascii="Arial CE" w:hAnsi="Arial CE" w:cs="Arial CE"/>
                <w:b/>
                <w:bCs/>
              </w:rPr>
              <w:t>Náměšť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15 412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13 990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1 070 473,00</w:t>
            </w:r>
          </w:p>
        </w:tc>
        <w:tc>
          <w:tcPr>
            <w:tcW w:w="27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912 460,00</w:t>
            </w:r>
          </w:p>
        </w:tc>
      </w:tr>
      <w:tr w:rsidR="00C756B1" w:rsidRPr="00C756B1" w:rsidTr="00C756B1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rPr>
                <w:rFonts w:ascii="Arial CE" w:hAnsi="Arial CE" w:cs="Arial CE"/>
                <w:b/>
                <w:bCs/>
              </w:rPr>
            </w:pPr>
            <w:r w:rsidRPr="00C756B1">
              <w:rPr>
                <w:rFonts w:ascii="Arial CE" w:hAnsi="Arial CE" w:cs="Arial CE"/>
                <w:b/>
                <w:bCs/>
              </w:rPr>
              <w:t>Telč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90 593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99 669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4 802 196,08</w:t>
            </w:r>
          </w:p>
        </w:tc>
        <w:tc>
          <w:tcPr>
            <w:tcW w:w="27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5 280 101,30</w:t>
            </w:r>
          </w:p>
        </w:tc>
      </w:tr>
      <w:tr w:rsidR="00C756B1" w:rsidRPr="00C756B1" w:rsidTr="00C756B1">
        <w:trPr>
          <w:trHeight w:val="330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rPr>
                <w:rFonts w:ascii="Arial CE" w:hAnsi="Arial CE" w:cs="Arial CE"/>
                <w:b/>
                <w:bCs/>
              </w:rPr>
            </w:pPr>
            <w:r w:rsidRPr="00C756B1">
              <w:rPr>
                <w:rFonts w:ascii="Arial CE" w:hAnsi="Arial CE" w:cs="Arial CE"/>
                <w:b/>
                <w:bCs/>
              </w:rPr>
              <w:t>Zelená Hora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23 042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23 187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1 720 520,00</w:t>
            </w:r>
          </w:p>
        </w:tc>
        <w:tc>
          <w:tcPr>
            <w:tcW w:w="27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1 672 960,00</w:t>
            </w:r>
          </w:p>
        </w:tc>
      </w:tr>
      <w:tr w:rsidR="00C756B1" w:rsidRPr="00C756B1" w:rsidTr="00C756B1">
        <w:trPr>
          <w:trHeight w:val="330"/>
          <w:jc w:val="center"/>
        </w:trPr>
        <w:tc>
          <w:tcPr>
            <w:tcW w:w="22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rPr>
                <w:rFonts w:ascii="Arial CE" w:hAnsi="Arial CE" w:cs="Arial CE"/>
                <w:b/>
                <w:bCs/>
              </w:rPr>
            </w:pPr>
            <w:r w:rsidRPr="00C756B1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2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center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 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center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 </w:t>
            </w:r>
          </w:p>
        </w:tc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 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 </w:t>
            </w:r>
          </w:p>
        </w:tc>
      </w:tr>
      <w:tr w:rsidR="00C756B1" w:rsidRPr="00C756B1" w:rsidTr="00C756B1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rPr>
                <w:rFonts w:ascii="Arial CE" w:hAnsi="Arial CE" w:cs="Arial CE"/>
                <w:b/>
                <w:bCs/>
              </w:rPr>
            </w:pPr>
            <w:r w:rsidRPr="00C756B1">
              <w:rPr>
                <w:rFonts w:ascii="Arial CE" w:hAnsi="Arial CE" w:cs="Arial CE"/>
                <w:b/>
                <w:bCs/>
              </w:rPr>
              <w:t>c e l k e m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181 505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193 446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10 251 641,58</w:t>
            </w:r>
          </w:p>
        </w:tc>
        <w:tc>
          <w:tcPr>
            <w:tcW w:w="270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10 662 566,30</w:t>
            </w:r>
          </w:p>
        </w:tc>
      </w:tr>
      <w:tr w:rsidR="00C756B1" w:rsidRPr="00C756B1" w:rsidTr="00C756B1">
        <w:trPr>
          <w:trHeight w:val="315"/>
          <w:jc w:val="center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center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56B1" w:rsidRPr="00C756B1" w:rsidRDefault="00C756B1" w:rsidP="00C756B1">
            <w:pPr>
              <w:jc w:val="center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56B1" w:rsidRPr="00C756B1" w:rsidRDefault="00C756B1" w:rsidP="00C756B1">
            <w:pPr>
              <w:jc w:val="right"/>
              <w:rPr>
                <w:rFonts w:ascii="Arial CE" w:hAnsi="Arial CE" w:cs="Arial CE"/>
              </w:rPr>
            </w:pPr>
            <w:r w:rsidRPr="00C756B1">
              <w:rPr>
                <w:rFonts w:ascii="Arial CE" w:hAnsi="Arial CE" w:cs="Arial CE"/>
              </w:rPr>
              <w:t> </w:t>
            </w:r>
          </w:p>
        </w:tc>
      </w:tr>
    </w:tbl>
    <w:p w:rsidR="00FA5310" w:rsidRDefault="00FA5310" w:rsidP="00FA5310">
      <w:pPr>
        <w:rPr>
          <w:rFonts w:ascii="Arial" w:hAnsi="Arial" w:cs="Arial"/>
          <w:sz w:val="20"/>
        </w:rPr>
      </w:pPr>
    </w:p>
    <w:p w:rsidR="001F5B77" w:rsidRDefault="001F5B77">
      <w:bookmarkStart w:id="1" w:name="_GoBack"/>
      <w:bookmarkEnd w:id="1"/>
    </w:p>
    <w:sectPr w:rsidR="001F5B77" w:rsidSect="001304F0">
      <w:pgSz w:w="16838" w:h="11906" w:orient="landscape"/>
      <w:pgMar w:top="1418" w:right="1418" w:bottom="1418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C756B1">
    <w:pPr>
      <w:pStyle w:val="Zhlav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A7" w:rsidRDefault="00C756B1" w:rsidP="00277548">
    <w:pPr>
      <w:pStyle w:val="Zhlav"/>
      <w:tabs>
        <w:tab w:val="clear" w:pos="4536"/>
        <w:tab w:val="clear" w:pos="9072"/>
        <w:tab w:val="right" w:pos="9070"/>
      </w:tabs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4EB706A" wp14:editId="57445545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1" name="Obrázek 1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10"/>
    <w:rsid w:val="001F5B77"/>
    <w:rsid w:val="00C756B1"/>
    <w:rsid w:val="00FA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A531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A5310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FA5310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FA5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A53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FA5310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FA5310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FA531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A5310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A531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FA5310"/>
    <w:rPr>
      <w:rFonts w:ascii="Arial" w:eastAsia="Times New Roman" w:hAnsi="Arial" w:cs="Arial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A531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A5310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FA5310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FA53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FA531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FA5310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FA5310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FA531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A5310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FA531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FA5310"/>
    <w:rPr>
      <w:rFonts w:ascii="Arial" w:eastAsia="Times New Roman" w:hAnsi="Arial" w:cs="Arial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u-cb.e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korepova.jitka@npu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avelec.petr@npu.cz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Skorepova</cp:lastModifiedBy>
  <cp:revision>1</cp:revision>
  <dcterms:created xsi:type="dcterms:W3CDTF">2015-01-09T08:21:00Z</dcterms:created>
  <dcterms:modified xsi:type="dcterms:W3CDTF">2015-01-09T08:37:00Z</dcterms:modified>
</cp:coreProperties>
</file>