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CA" w:rsidRDefault="004214CA" w:rsidP="004214CA">
      <w:pPr>
        <w:tabs>
          <w:tab w:val="left" w:pos="5970"/>
        </w:tabs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7F7F7F"/>
          <w:sz w:val="34"/>
          <w:szCs w:val="32"/>
        </w:rPr>
      </w:pPr>
      <w:r>
        <w:rPr>
          <w:rFonts w:ascii="Arial-BoldMT" w:hAnsi="Arial-BoldMT"/>
          <w:b/>
          <w:bCs/>
          <w:color w:val="7F7F7F"/>
          <w:sz w:val="34"/>
          <w:szCs w:val="32"/>
        </w:rPr>
        <w:tab/>
      </w:r>
    </w:p>
    <w:p w:rsidR="004214CA" w:rsidRDefault="004214CA" w:rsidP="004214CA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7F7F7F"/>
          <w:sz w:val="12"/>
          <w:szCs w:val="32"/>
        </w:rPr>
      </w:pPr>
    </w:p>
    <w:p w:rsidR="004214CA" w:rsidRDefault="004214CA" w:rsidP="004214CA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TISKOVÁ ZPRÁVA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4214CA" w:rsidRDefault="004214CA" w:rsidP="004214CA">
      <w:pPr>
        <w:autoSpaceDE w:val="0"/>
        <w:autoSpaceDN w:val="0"/>
        <w:adjustRightInd w:val="0"/>
        <w:spacing w:after="120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 xml:space="preserve">Jihočeské památky </w:t>
      </w:r>
      <w:r w:rsidR="007B7C28">
        <w:rPr>
          <w:rFonts w:ascii="Arial" w:hAnsi="Arial" w:cs="Arial"/>
          <w:b/>
          <w:bCs/>
          <w:color w:val="999999"/>
          <w:sz w:val="34"/>
          <w:szCs w:val="32"/>
        </w:rPr>
        <w:t>při</w:t>
      </w:r>
      <w:r>
        <w:rPr>
          <w:rFonts w:ascii="Arial" w:hAnsi="Arial" w:cs="Arial"/>
          <w:b/>
          <w:bCs/>
          <w:color w:val="999999"/>
          <w:sz w:val="34"/>
          <w:szCs w:val="32"/>
        </w:rPr>
        <w:t>láka</w:t>
      </w:r>
      <w:r w:rsidR="007B7C28">
        <w:rPr>
          <w:rFonts w:ascii="Arial" w:hAnsi="Arial" w:cs="Arial"/>
          <w:b/>
          <w:bCs/>
          <w:color w:val="999999"/>
          <w:sz w:val="34"/>
          <w:szCs w:val="32"/>
        </w:rPr>
        <w:t>ly</w:t>
      </w:r>
      <w:r>
        <w:rPr>
          <w:rFonts w:ascii="Arial" w:hAnsi="Arial" w:cs="Arial"/>
          <w:b/>
          <w:bCs/>
          <w:color w:val="999999"/>
          <w:sz w:val="34"/>
          <w:szCs w:val="32"/>
        </w:rPr>
        <w:t xml:space="preserve"> k návštěvě víc</w:t>
      </w:r>
      <w:r w:rsidR="007B7C28">
        <w:rPr>
          <w:rFonts w:ascii="Arial" w:hAnsi="Arial" w:cs="Arial"/>
          <w:b/>
          <w:bCs/>
          <w:color w:val="999999"/>
          <w:sz w:val="34"/>
          <w:szCs w:val="32"/>
        </w:rPr>
        <w:t>e</w:t>
      </w:r>
      <w:r>
        <w:rPr>
          <w:rFonts w:ascii="Arial" w:hAnsi="Arial" w:cs="Arial"/>
          <w:b/>
          <w:bCs/>
          <w:color w:val="999999"/>
          <w:sz w:val="34"/>
          <w:szCs w:val="32"/>
        </w:rPr>
        <w:t xml:space="preserve"> turistů</w:t>
      </w:r>
    </w:p>
    <w:p w:rsidR="004214CA" w:rsidRDefault="004214CA" w:rsidP="004214CA">
      <w:pPr>
        <w:pStyle w:val="Nadpis3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 4. 8</w:t>
      </w:r>
      <w:r>
        <w:rPr>
          <w:rFonts w:ascii="Arial" w:hAnsi="Arial" w:cs="Arial"/>
          <w:color w:val="auto"/>
          <w:sz w:val="22"/>
        </w:rPr>
        <w:t>. 2014</w:t>
      </w:r>
    </w:p>
    <w:bookmarkEnd w:id="0"/>
    <w:p w:rsidR="004214CA" w:rsidRDefault="004214CA" w:rsidP="004214CA">
      <w:pPr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Jihočeské památkové objekty spravované Národním památkovým ústavem, územní památkovou správou v Českých Budějovicích navštívilo až doposud v průměru o 12 procent více turistů než v loňském roce. Od ledna do července 2014 si některý z hradů, zámků a dalších památek vybralo za svůj cíl 582 880 návštěvníků.</w:t>
      </w:r>
    </w:p>
    <w:p w:rsidR="004214CA" w:rsidRDefault="004214CA" w:rsidP="004214CA">
      <w:pPr>
        <w:rPr>
          <w:rFonts w:ascii="Arial" w:hAnsi="Arial" w:cs="Arial"/>
          <w:b/>
          <w:bCs/>
          <w:sz w:val="20"/>
          <w:szCs w:val="28"/>
        </w:rPr>
      </w:pPr>
    </w:p>
    <w:p w:rsidR="000C271C" w:rsidRDefault="007B7C28" w:rsidP="004214CA">
      <w:pPr>
        <w:spacing w:after="120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>Jedenáct památek ze třinácti, které spravuje Národní památkový ústav, územní památková správa v Českých Budějovicích hlásí oproti loňsku zvýšenou návštěvnost. Nejvíce lidí každoročně zavítá na SHZ Český Krumlov, který koncem července dosáhl bezmála dvousettisícové hranice</w:t>
      </w:r>
      <w:r w:rsidR="004B6DE2">
        <w:rPr>
          <w:rFonts w:ascii="Arial" w:hAnsi="Arial" w:cs="Arial"/>
          <w:bCs/>
          <w:sz w:val="20"/>
          <w:szCs w:val="28"/>
        </w:rPr>
        <w:t xml:space="preserve"> (199 840)</w:t>
      </w:r>
      <w:r>
        <w:rPr>
          <w:rFonts w:ascii="Arial" w:hAnsi="Arial" w:cs="Arial"/>
          <w:bCs/>
          <w:sz w:val="20"/>
          <w:szCs w:val="28"/>
        </w:rPr>
        <w:t xml:space="preserve">, a SZ Hluboká, kam se doposud podívalo 141 784 lidí. </w:t>
      </w:r>
      <w:r w:rsidR="000C271C">
        <w:rPr>
          <w:rFonts w:ascii="Arial" w:hAnsi="Arial" w:cs="Arial"/>
          <w:bCs/>
          <w:sz w:val="20"/>
          <w:szCs w:val="28"/>
        </w:rPr>
        <w:t>Do první pětice nejnavštěvovanějších jihočeských památek již stabilně patří SZ Červená Lhota</w:t>
      </w:r>
      <w:r w:rsidR="004B6DE2">
        <w:rPr>
          <w:rFonts w:ascii="Arial" w:hAnsi="Arial" w:cs="Arial"/>
          <w:bCs/>
          <w:sz w:val="20"/>
          <w:szCs w:val="28"/>
        </w:rPr>
        <w:t xml:space="preserve"> (39 128)</w:t>
      </w:r>
      <w:r w:rsidR="000C271C">
        <w:rPr>
          <w:rFonts w:ascii="Arial" w:hAnsi="Arial" w:cs="Arial"/>
          <w:bCs/>
          <w:sz w:val="20"/>
          <w:szCs w:val="28"/>
        </w:rPr>
        <w:t>, SH Rožmberk</w:t>
      </w:r>
      <w:r w:rsidR="004B6DE2">
        <w:rPr>
          <w:rFonts w:ascii="Arial" w:hAnsi="Arial" w:cs="Arial"/>
          <w:bCs/>
          <w:sz w:val="20"/>
          <w:szCs w:val="28"/>
        </w:rPr>
        <w:t xml:space="preserve"> (35 040)</w:t>
      </w:r>
      <w:r w:rsidR="000C271C">
        <w:rPr>
          <w:rFonts w:ascii="Arial" w:hAnsi="Arial" w:cs="Arial"/>
          <w:bCs/>
          <w:sz w:val="20"/>
          <w:szCs w:val="28"/>
        </w:rPr>
        <w:t xml:space="preserve"> a SHZ Jindřichův Hradec</w:t>
      </w:r>
      <w:r w:rsidR="004B6DE2">
        <w:rPr>
          <w:rFonts w:ascii="Arial" w:hAnsi="Arial" w:cs="Arial"/>
          <w:bCs/>
          <w:sz w:val="20"/>
          <w:szCs w:val="28"/>
        </w:rPr>
        <w:t xml:space="preserve"> (32 243)</w:t>
      </w:r>
      <w:r w:rsidR="000C271C">
        <w:rPr>
          <w:rFonts w:ascii="Arial" w:hAnsi="Arial" w:cs="Arial"/>
          <w:bCs/>
          <w:sz w:val="20"/>
          <w:szCs w:val="28"/>
        </w:rPr>
        <w:t xml:space="preserve">. </w:t>
      </w:r>
      <w:r>
        <w:rPr>
          <w:rFonts w:ascii="Arial" w:hAnsi="Arial" w:cs="Arial"/>
          <w:bCs/>
          <w:sz w:val="20"/>
          <w:szCs w:val="28"/>
        </w:rPr>
        <w:t xml:space="preserve">Největší </w:t>
      </w:r>
      <w:r w:rsidR="000C271C">
        <w:rPr>
          <w:rFonts w:ascii="Arial" w:hAnsi="Arial" w:cs="Arial"/>
          <w:bCs/>
          <w:sz w:val="20"/>
          <w:szCs w:val="28"/>
        </w:rPr>
        <w:t>nárůst</w:t>
      </w:r>
      <w:r>
        <w:rPr>
          <w:rFonts w:ascii="Arial" w:hAnsi="Arial" w:cs="Arial"/>
          <w:bCs/>
          <w:sz w:val="20"/>
          <w:szCs w:val="28"/>
        </w:rPr>
        <w:t xml:space="preserve"> v počtu návštěvníků oproti loňsku je</w:t>
      </w:r>
      <w:r w:rsidR="000C271C">
        <w:rPr>
          <w:rFonts w:ascii="Arial" w:hAnsi="Arial" w:cs="Arial"/>
          <w:bCs/>
          <w:sz w:val="20"/>
          <w:szCs w:val="28"/>
        </w:rPr>
        <w:t xml:space="preserve"> však</w:t>
      </w:r>
      <w:r>
        <w:rPr>
          <w:rFonts w:ascii="Arial" w:hAnsi="Arial" w:cs="Arial"/>
          <w:bCs/>
          <w:sz w:val="20"/>
          <w:szCs w:val="28"/>
        </w:rPr>
        <w:t xml:space="preserve"> patrný na zámku Kratochvíle, kde se oproti loňskému počtu 14 268 vyšplhala návštěvnost na 21 234 </w:t>
      </w:r>
      <w:r w:rsidR="000C271C">
        <w:rPr>
          <w:rFonts w:ascii="Arial" w:hAnsi="Arial" w:cs="Arial"/>
          <w:bCs/>
          <w:sz w:val="20"/>
          <w:szCs w:val="28"/>
        </w:rPr>
        <w:t>lidí.</w:t>
      </w:r>
    </w:p>
    <w:p w:rsidR="000C271C" w:rsidRDefault="000C271C" w:rsidP="004214CA">
      <w:pPr>
        <w:spacing w:after="120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>Památkové objekty lákají k návštěvě nejen klasických prohlídkových tras, ale každoročně chystají desítky dalších kulturních akcí. V nabídce samozřejmě nechybí oblíbené noční či kostýmované prohlídky, hudební i divadelní festivaly, výstavy, koncerty</w:t>
      </w:r>
      <w:r w:rsidR="004B6DE2">
        <w:rPr>
          <w:rFonts w:ascii="Arial" w:hAnsi="Arial" w:cs="Arial"/>
          <w:bCs/>
          <w:sz w:val="20"/>
          <w:szCs w:val="28"/>
        </w:rPr>
        <w:t>, šermířská vystoupení</w:t>
      </w:r>
      <w:r>
        <w:rPr>
          <w:rFonts w:ascii="Arial" w:hAnsi="Arial" w:cs="Arial"/>
          <w:bCs/>
          <w:sz w:val="20"/>
          <w:szCs w:val="28"/>
        </w:rPr>
        <w:t xml:space="preserve"> nebo taneční večery. </w:t>
      </w:r>
      <w:r w:rsidR="004B6DE2">
        <w:rPr>
          <w:rFonts w:ascii="Arial" w:hAnsi="Arial" w:cs="Arial"/>
          <w:bCs/>
          <w:sz w:val="20"/>
          <w:szCs w:val="28"/>
        </w:rPr>
        <w:t>„</w:t>
      </w:r>
      <w:r>
        <w:rPr>
          <w:rFonts w:ascii="Arial" w:hAnsi="Arial" w:cs="Arial"/>
          <w:bCs/>
          <w:sz w:val="20"/>
          <w:szCs w:val="28"/>
        </w:rPr>
        <w:t>Příznivý průběh dosavadní návštěvnické sezóny ovlivnilo i mírné zimní</w:t>
      </w:r>
      <w:r w:rsidR="004B6DE2">
        <w:rPr>
          <w:rFonts w:ascii="Arial" w:hAnsi="Arial" w:cs="Arial"/>
          <w:bCs/>
          <w:sz w:val="20"/>
          <w:szCs w:val="28"/>
        </w:rPr>
        <w:t xml:space="preserve"> a jarní</w:t>
      </w:r>
      <w:r>
        <w:rPr>
          <w:rFonts w:ascii="Arial" w:hAnsi="Arial" w:cs="Arial"/>
          <w:bCs/>
          <w:sz w:val="20"/>
          <w:szCs w:val="28"/>
        </w:rPr>
        <w:t xml:space="preserve"> počasí, které nám dovolilo zpřístupnit některé památky v</w:t>
      </w:r>
      <w:r w:rsidR="004B6DE2">
        <w:rPr>
          <w:rFonts w:ascii="Arial" w:hAnsi="Arial" w:cs="Arial"/>
          <w:bCs/>
          <w:sz w:val="20"/>
          <w:szCs w:val="28"/>
        </w:rPr>
        <w:t> </w:t>
      </w:r>
      <w:r>
        <w:rPr>
          <w:rFonts w:ascii="Arial" w:hAnsi="Arial" w:cs="Arial"/>
          <w:bCs/>
          <w:sz w:val="20"/>
          <w:szCs w:val="28"/>
        </w:rPr>
        <w:t>předstihu</w:t>
      </w:r>
      <w:r w:rsidR="004B6DE2">
        <w:rPr>
          <w:rFonts w:ascii="Arial" w:hAnsi="Arial" w:cs="Arial"/>
          <w:bCs/>
          <w:sz w:val="20"/>
          <w:szCs w:val="28"/>
        </w:rPr>
        <w:t>,“ podotýká Petr Pavelec, ředitel českobudějovické územní památkové správy NPÚ.</w:t>
      </w:r>
    </w:p>
    <w:p w:rsidR="004B6DE2" w:rsidRDefault="004B6DE2" w:rsidP="004214CA">
      <w:pPr>
        <w:spacing w:after="120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 xml:space="preserve">Také v srpnu se mohou návštěvníci těšit na zajímavé kulturní akce. Jejich vyvrcholením bude </w:t>
      </w:r>
      <w:r w:rsidRPr="00DC7469">
        <w:rPr>
          <w:rFonts w:ascii="Arial" w:hAnsi="Arial" w:cs="Arial"/>
          <w:b/>
          <w:bCs/>
          <w:sz w:val="20"/>
          <w:szCs w:val="28"/>
        </w:rPr>
        <w:t>Hradozámecká noc</w:t>
      </w:r>
      <w:r>
        <w:rPr>
          <w:rFonts w:ascii="Arial" w:hAnsi="Arial" w:cs="Arial"/>
          <w:bCs/>
          <w:sz w:val="20"/>
          <w:szCs w:val="28"/>
        </w:rPr>
        <w:t xml:space="preserve">, která se uskuteční </w:t>
      </w:r>
      <w:r w:rsidRPr="00DC7469">
        <w:rPr>
          <w:rFonts w:ascii="Arial" w:hAnsi="Arial" w:cs="Arial"/>
          <w:b/>
          <w:bCs/>
          <w:sz w:val="20"/>
          <w:szCs w:val="28"/>
        </w:rPr>
        <w:t>v sobotu 30. srpna 2014</w:t>
      </w:r>
      <w:r>
        <w:rPr>
          <w:rFonts w:ascii="Arial" w:hAnsi="Arial" w:cs="Arial"/>
          <w:bCs/>
          <w:sz w:val="20"/>
          <w:szCs w:val="28"/>
        </w:rPr>
        <w:t xml:space="preserve">. V noci se tak otevře více než 70 státních i nestátních památek po celé republice, v jižních Čechách se do akce zapojí </w:t>
      </w:r>
      <w:r w:rsidR="00D77AE4">
        <w:rPr>
          <w:rFonts w:ascii="Arial" w:hAnsi="Arial" w:cs="Arial"/>
          <w:bCs/>
          <w:sz w:val="20"/>
          <w:szCs w:val="28"/>
        </w:rPr>
        <w:t>osm památkových objektů.</w:t>
      </w:r>
    </w:p>
    <w:p w:rsidR="00163ECB" w:rsidRDefault="00163ECB" w:rsidP="004214CA">
      <w:pPr>
        <w:spacing w:after="120"/>
        <w:rPr>
          <w:rFonts w:ascii="Arial" w:hAnsi="Arial" w:cs="Arial"/>
          <w:bCs/>
          <w:sz w:val="20"/>
          <w:szCs w:val="28"/>
        </w:rPr>
      </w:pPr>
    </w:p>
    <w:p w:rsidR="00163ECB" w:rsidRDefault="00163ECB" w:rsidP="004214CA">
      <w:pPr>
        <w:spacing w:after="120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>Souhrnná tabulka s přehledem návštěvnosti od ledna do července 2014 a 2013 – viz Příloha č. 1</w:t>
      </w:r>
      <w:r w:rsidR="00EB5D1D">
        <w:rPr>
          <w:rFonts w:ascii="Arial" w:hAnsi="Arial" w:cs="Arial"/>
          <w:bCs/>
          <w:sz w:val="20"/>
          <w:szCs w:val="28"/>
        </w:rPr>
        <w:t>.</w:t>
      </w:r>
      <w:bookmarkStart w:id="1" w:name="_GoBack"/>
      <w:bookmarkEnd w:id="1"/>
    </w:p>
    <w:p w:rsidR="004214CA" w:rsidRPr="00AF55E6" w:rsidRDefault="004214CA" w:rsidP="004214CA">
      <w:pPr>
        <w:spacing w:after="120"/>
        <w:rPr>
          <w:rFonts w:ascii="Arial" w:hAnsi="Arial" w:cs="Arial"/>
          <w:bCs/>
          <w:sz w:val="20"/>
          <w:szCs w:val="28"/>
        </w:rPr>
      </w:pPr>
    </w:p>
    <w:p w:rsidR="004214CA" w:rsidRDefault="004214CA" w:rsidP="004214CA">
      <w:pPr>
        <w:pStyle w:val="Zkladntextodsazen"/>
        <w:autoSpaceDE/>
        <w:autoSpaceDN/>
        <w:adjustRightInd/>
        <w:spacing w:after="120" w:line="240" w:lineRule="auto"/>
        <w:ind w:firstLine="0"/>
        <w:jc w:val="center"/>
        <w:rPr>
          <w:szCs w:val="18"/>
        </w:rPr>
      </w:pPr>
      <w:r>
        <w:rPr>
          <w:szCs w:val="18"/>
        </w:rPr>
        <w:t>***</w:t>
      </w:r>
    </w:p>
    <w:p w:rsidR="004214CA" w:rsidRDefault="004214CA" w:rsidP="004214CA">
      <w:pPr>
        <w:pStyle w:val="Prosttex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Kontakty:</w:t>
      </w:r>
    </w:p>
    <w:p w:rsidR="004214CA" w:rsidRPr="00691AF1" w:rsidRDefault="004B6DE2" w:rsidP="004214CA">
      <w:pPr>
        <w:pStyle w:val="Zkladntextodsazen"/>
        <w:autoSpaceDE/>
        <w:autoSpaceDN/>
        <w:adjustRightInd/>
        <w:spacing w:line="240" w:lineRule="auto"/>
        <w:ind w:firstLine="0"/>
        <w:rPr>
          <w:bCs/>
        </w:rPr>
      </w:pPr>
      <w:r>
        <w:rPr>
          <w:b/>
          <w:bCs/>
        </w:rPr>
        <w:t>Mgr. Petr Pavelec, Ph.D.</w:t>
      </w:r>
      <w:r>
        <w:rPr>
          <w:bCs/>
        </w:rPr>
        <w:t xml:space="preserve">, ředitel, NPÚ ÚPS České Budějovice, 607 661 967, </w:t>
      </w:r>
      <w:hyperlink r:id="rId5" w:history="1">
        <w:r w:rsidRPr="00A8244A">
          <w:rPr>
            <w:rStyle w:val="Hypertextovodkaz"/>
            <w:bCs/>
          </w:rPr>
          <w:t>pavelec.petr@npu.cz</w:t>
        </w:r>
      </w:hyperlink>
      <w:r>
        <w:rPr>
          <w:bCs/>
        </w:rPr>
        <w:t xml:space="preserve">. </w:t>
      </w:r>
      <w:r w:rsidR="004214CA">
        <w:rPr>
          <w:bCs/>
        </w:rPr>
        <w:t xml:space="preserve"> </w:t>
      </w:r>
    </w:p>
    <w:p w:rsidR="004214CA" w:rsidRDefault="004214CA" w:rsidP="004214CA">
      <w:pPr>
        <w:pStyle w:val="Zkladntextodsazen"/>
        <w:autoSpaceDE/>
        <w:autoSpaceDN/>
        <w:adjustRightInd/>
        <w:spacing w:line="240" w:lineRule="auto"/>
        <w:ind w:firstLine="0"/>
        <w:rPr>
          <w:szCs w:val="18"/>
        </w:rPr>
      </w:pPr>
      <w:r>
        <w:rPr>
          <w:b/>
          <w:bCs/>
        </w:rPr>
        <w:t>Mgr. Jitka Skořepová</w:t>
      </w:r>
      <w:r>
        <w:t xml:space="preserve">, PR, vztahy k veřejnosti, NPÚ ÚPS České Budějovice, 386 356 921, 602 626 736, </w:t>
      </w:r>
      <w:hyperlink r:id="rId6" w:history="1">
        <w:r w:rsidRPr="00CA7D85">
          <w:rPr>
            <w:rStyle w:val="Hypertextovodkaz"/>
            <w:rFonts w:eastAsia="Calibri"/>
          </w:rPr>
          <w:t>skorepova.jitka@npu.cz</w:t>
        </w:r>
      </w:hyperlink>
    </w:p>
    <w:p w:rsidR="004214CA" w:rsidRDefault="004214CA" w:rsidP="004214CA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20"/>
        </w:rPr>
      </w:pPr>
    </w:p>
    <w:p w:rsidR="004214CA" w:rsidRDefault="004214CA" w:rsidP="004214CA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 xml:space="preserve">Více informací naleznete na webových stránkách </w:t>
      </w:r>
      <w:hyperlink r:id="rId7" w:history="1">
        <w:r w:rsidRPr="002D73A6">
          <w:rPr>
            <w:rStyle w:val="Hypertextovodkaz"/>
            <w:rFonts w:eastAsia="Calibri"/>
            <w:b/>
            <w:bCs/>
            <w:i/>
            <w:iCs/>
            <w:szCs w:val="20"/>
          </w:rPr>
          <w:t>www.npu-cb.eu</w:t>
        </w:r>
      </w:hyperlink>
      <w:r>
        <w:rPr>
          <w:rFonts w:ascii="Arial" w:hAnsi="Arial" w:cs="Arial"/>
          <w:b/>
          <w:bCs/>
          <w:i/>
          <w:iCs/>
          <w:sz w:val="18"/>
          <w:szCs w:val="20"/>
        </w:rPr>
        <w:t xml:space="preserve">.  </w:t>
      </w:r>
    </w:p>
    <w:p w:rsidR="00C214BC" w:rsidRPr="00C214BC" w:rsidRDefault="00C214BC" w:rsidP="00C214BC">
      <w:pPr>
        <w:pStyle w:val="Zkladntext3"/>
        <w:spacing w:line="240" w:lineRule="auto"/>
        <w:rPr>
          <w:bCs/>
          <w:i/>
          <w:iCs/>
          <w:sz w:val="16"/>
        </w:rPr>
      </w:pPr>
      <w:r w:rsidRPr="00C214BC">
        <w:rPr>
          <w:b/>
          <w:bCs/>
          <w:i/>
          <w:iCs/>
          <w:sz w:val="16"/>
        </w:rPr>
        <w:t>Národní památkový ústav, územní památková správa v</w:t>
      </w:r>
      <w:r>
        <w:rPr>
          <w:b/>
          <w:bCs/>
          <w:i/>
          <w:iCs/>
          <w:sz w:val="16"/>
        </w:rPr>
        <w:t> Českých Budějovicích</w:t>
      </w:r>
      <w:r w:rsidRPr="00C214BC">
        <w:rPr>
          <w:b/>
          <w:bCs/>
          <w:i/>
          <w:iCs/>
          <w:sz w:val="16"/>
        </w:rPr>
        <w:t xml:space="preserve"> </w:t>
      </w:r>
      <w:r w:rsidRPr="00C214BC">
        <w:rPr>
          <w:bCs/>
          <w:i/>
          <w:iCs/>
          <w:sz w:val="16"/>
        </w:rPr>
        <w:t xml:space="preserve">je jedním ze čtyř pracovišť zabývajících se správou objektů v péči Národního památkového ústavu. NPÚ je největší příspěvková organizace Ministerstva kultury ČR a z pověření státu spravuje a veřejnosti zpřístupňuje více než sto nemovitých památek. V rámci zpřístupněných objektů pečuje také o přibližně tři čtvrtě milionu sbírkových předmětů a též o typické součásti zámeckých i hradních areálů: historické zahrady a parky. Z konvolutu památek přímo ve správě NPÚ je sedm zapsáno v Seznamu světového dědictví UNESCO. </w:t>
      </w:r>
    </w:p>
    <w:p w:rsidR="00C214BC" w:rsidRPr="00C214BC" w:rsidRDefault="00C214BC" w:rsidP="00C214BC">
      <w:pPr>
        <w:pStyle w:val="Zkladntext3"/>
        <w:spacing w:line="240" w:lineRule="auto"/>
        <w:rPr>
          <w:bCs/>
          <w:i/>
          <w:iCs/>
          <w:sz w:val="16"/>
        </w:rPr>
      </w:pPr>
      <w:r w:rsidRPr="00C214BC">
        <w:rPr>
          <w:b/>
          <w:bCs/>
          <w:i/>
          <w:iCs/>
          <w:sz w:val="16"/>
        </w:rPr>
        <w:t>NPÚ, územní památková správa v Českých Budějovicích</w:t>
      </w:r>
      <w:r>
        <w:rPr>
          <w:b/>
          <w:bCs/>
          <w:i/>
          <w:iCs/>
          <w:sz w:val="16"/>
        </w:rPr>
        <w:t xml:space="preserve"> se </w:t>
      </w:r>
      <w:r w:rsidRPr="00C214BC">
        <w:rPr>
          <w:b/>
          <w:bCs/>
          <w:i/>
          <w:iCs/>
          <w:sz w:val="16"/>
        </w:rPr>
        <w:t xml:space="preserve"> stará o 31 památkových areálů na území krajů Jihočeský, Plzeňský a Vysočina</w:t>
      </w:r>
      <w:r w:rsidRPr="00C214BC">
        <w:rPr>
          <w:bCs/>
          <w:i/>
          <w:iCs/>
          <w:sz w:val="16"/>
        </w:rPr>
        <w:t xml:space="preserve">. Má na starosti </w:t>
      </w:r>
      <w:r w:rsidRPr="00C214BC">
        <w:rPr>
          <w:b/>
          <w:bCs/>
          <w:i/>
          <w:iCs/>
          <w:sz w:val="16"/>
        </w:rPr>
        <w:t>hrady a zámky</w:t>
      </w:r>
      <w:r w:rsidRPr="00C214BC">
        <w:rPr>
          <w:bCs/>
          <w:i/>
          <w:iCs/>
          <w:sz w:val="16"/>
        </w:rPr>
        <w:t xml:space="preserve"> (</w:t>
      </w:r>
      <w:r w:rsidRPr="00C214BC">
        <w:rPr>
          <w:i/>
          <w:iCs/>
          <w:sz w:val="16"/>
        </w:rPr>
        <w:t>SZ Červená Lhota, SHZ Český Krumlov, SZ Dačice, SZ Hluboká, SHZ Jindřichův Hradec, SZ Kratochvíle, SH Landštejn, SH Nové Hrady, SH Rožmberk, SZ Třeboň s hrobkou Domanín, SH Zvíkov</w:t>
      </w:r>
      <w:r w:rsidRPr="00C214BC">
        <w:rPr>
          <w:i/>
          <w:iCs/>
          <w:sz w:val="16"/>
        </w:rPr>
        <w:t xml:space="preserve">, </w:t>
      </w:r>
      <w:r w:rsidRPr="00C214BC">
        <w:rPr>
          <w:i/>
          <w:iCs/>
          <w:sz w:val="16"/>
        </w:rPr>
        <w:t>SZ Červené Poříčí, SH Gutštejn, SHZ Horšovský Týn, SZ Kozel, SZ Manětín, SZ Nebílovy, SH Přimda, SH Rabí, SH Švihov, SH Velhartice</w:t>
      </w:r>
      <w:r w:rsidRPr="00C214BC">
        <w:rPr>
          <w:i/>
          <w:iCs/>
          <w:sz w:val="16"/>
        </w:rPr>
        <w:t xml:space="preserve">, </w:t>
      </w:r>
      <w:r w:rsidRPr="00C214BC">
        <w:rPr>
          <w:i/>
          <w:iCs/>
          <w:sz w:val="16"/>
        </w:rPr>
        <w:t>SZ Jaroměřice nad Rokytnou, SH Lipnice, SZ Náměšť nad Oslavou, SZ Telč</w:t>
      </w:r>
      <w:r w:rsidRPr="00C214BC">
        <w:rPr>
          <w:bCs/>
          <w:i/>
          <w:iCs/>
          <w:sz w:val="16"/>
        </w:rPr>
        <w:t xml:space="preserve">), </w:t>
      </w:r>
      <w:r w:rsidRPr="00C214BC">
        <w:rPr>
          <w:b/>
          <w:bCs/>
          <w:i/>
          <w:iCs/>
          <w:sz w:val="16"/>
        </w:rPr>
        <w:t>klášterní areály</w:t>
      </w:r>
      <w:r w:rsidRPr="00C214BC">
        <w:rPr>
          <w:bCs/>
          <w:i/>
          <w:iCs/>
          <w:sz w:val="16"/>
        </w:rPr>
        <w:t xml:space="preserve"> (Kladruby, Plasy, </w:t>
      </w:r>
      <w:r w:rsidRPr="00C214BC">
        <w:rPr>
          <w:i/>
          <w:iCs/>
          <w:sz w:val="16"/>
        </w:rPr>
        <w:t>Zlatá Koruna</w:t>
      </w:r>
      <w:r w:rsidRPr="00C214BC">
        <w:rPr>
          <w:i/>
          <w:iCs/>
          <w:sz w:val="16"/>
        </w:rPr>
        <w:t xml:space="preserve"> a poutní areál  kostela sv. Jana Nepomuckého na Zelené hoře</w:t>
      </w:r>
      <w:r w:rsidRPr="00C214BC">
        <w:rPr>
          <w:bCs/>
          <w:i/>
          <w:iCs/>
          <w:sz w:val="16"/>
        </w:rPr>
        <w:t>)</w:t>
      </w:r>
      <w:r>
        <w:rPr>
          <w:bCs/>
          <w:i/>
          <w:iCs/>
          <w:sz w:val="16"/>
        </w:rPr>
        <w:t xml:space="preserve"> a</w:t>
      </w:r>
      <w:r w:rsidRPr="00C214BC">
        <w:rPr>
          <w:bCs/>
          <w:i/>
          <w:iCs/>
          <w:sz w:val="16"/>
        </w:rPr>
        <w:t xml:space="preserve"> </w:t>
      </w:r>
      <w:r w:rsidRPr="00C214BC">
        <w:rPr>
          <w:b/>
          <w:bCs/>
          <w:i/>
          <w:iCs/>
          <w:sz w:val="16"/>
        </w:rPr>
        <w:t>památky lidové architektury</w:t>
      </w:r>
      <w:r w:rsidRPr="00C214BC">
        <w:rPr>
          <w:bCs/>
          <w:i/>
          <w:iCs/>
          <w:sz w:val="16"/>
        </w:rPr>
        <w:t xml:space="preserve"> (</w:t>
      </w:r>
      <w:r w:rsidRPr="00C214BC">
        <w:rPr>
          <w:i/>
          <w:iCs/>
          <w:sz w:val="16"/>
        </w:rPr>
        <w:t>usedl</w:t>
      </w:r>
      <w:r w:rsidRPr="00C214BC">
        <w:rPr>
          <w:i/>
          <w:iCs/>
          <w:sz w:val="16"/>
        </w:rPr>
        <w:t>ost „U Matoušů“ Plzeň – Bolevec</w:t>
      </w:r>
      <w:r w:rsidRPr="00C214BC">
        <w:rPr>
          <w:bCs/>
          <w:i/>
          <w:iCs/>
          <w:sz w:val="16"/>
        </w:rPr>
        <w:t>)</w:t>
      </w:r>
      <w:r>
        <w:rPr>
          <w:bCs/>
          <w:i/>
          <w:iCs/>
          <w:sz w:val="16"/>
        </w:rPr>
        <w:t>.</w:t>
      </w:r>
      <w:r w:rsidRPr="00C214BC">
        <w:rPr>
          <w:bCs/>
          <w:i/>
          <w:iCs/>
          <w:sz w:val="16"/>
        </w:rPr>
        <w:t xml:space="preserve"> Další informace najdete na </w:t>
      </w:r>
      <w:hyperlink r:id="rId8" w:history="1">
        <w:r w:rsidRPr="00C214BC">
          <w:rPr>
            <w:rStyle w:val="Hypertextovodkaz"/>
            <w:bCs/>
            <w:i/>
            <w:iCs/>
            <w:sz w:val="16"/>
          </w:rPr>
          <w:t>www.npu.cz</w:t>
        </w:r>
      </w:hyperlink>
      <w:r w:rsidRPr="00C214BC">
        <w:rPr>
          <w:bCs/>
          <w:i/>
          <w:iCs/>
          <w:sz w:val="16"/>
        </w:rPr>
        <w:t>.</w:t>
      </w:r>
    </w:p>
    <w:p w:rsidR="00C214BC" w:rsidRDefault="00C214BC" w:rsidP="004214CA">
      <w:pPr>
        <w:pStyle w:val="Zkladntext3"/>
        <w:spacing w:line="240" w:lineRule="auto"/>
        <w:jc w:val="both"/>
        <w:rPr>
          <w:b/>
          <w:bCs/>
          <w:i/>
          <w:iCs/>
          <w:sz w:val="16"/>
        </w:rPr>
      </w:pPr>
    </w:p>
    <w:p w:rsidR="00C214BC" w:rsidRDefault="00C214BC">
      <w:pPr>
        <w:spacing w:after="200" w:line="276" w:lineRule="auto"/>
        <w:rPr>
          <w:rFonts w:ascii="Arial" w:hAnsi="Arial" w:cs="Arial"/>
          <w:iCs/>
          <w:sz w:val="20"/>
        </w:rPr>
        <w:sectPr w:rsidR="00C214BC" w:rsidSect="00C214BC">
          <w:head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63ECB" w:rsidRDefault="00163ECB">
      <w:pPr>
        <w:spacing w:after="200" w:line="276" w:lineRule="auto"/>
        <w:rPr>
          <w:rFonts w:ascii="Arial" w:hAnsi="Arial" w:cs="Arial"/>
          <w:iCs/>
          <w:sz w:val="20"/>
        </w:rPr>
      </w:pPr>
    </w:p>
    <w:p w:rsidR="004214CA" w:rsidRDefault="004214CA" w:rsidP="004214CA">
      <w:pPr>
        <w:spacing w:after="200" w:line="276" w:lineRule="auto"/>
        <w:rPr>
          <w:rFonts w:ascii="Arial" w:hAnsi="Arial" w:cs="Arial"/>
          <w:iCs/>
          <w:sz w:val="20"/>
        </w:rPr>
      </w:pPr>
    </w:p>
    <w:p w:rsidR="00163ECB" w:rsidRPr="00163ECB" w:rsidRDefault="00163ECB" w:rsidP="004214CA">
      <w:pPr>
        <w:spacing w:after="200" w:line="276" w:lineRule="auto"/>
        <w:rPr>
          <w:rFonts w:ascii="Arial" w:hAnsi="Arial" w:cs="Arial"/>
          <w:b/>
          <w:iCs/>
        </w:rPr>
      </w:pPr>
      <w:r w:rsidRPr="00163ECB">
        <w:rPr>
          <w:rFonts w:ascii="Arial" w:hAnsi="Arial" w:cs="Arial"/>
          <w:b/>
          <w:iCs/>
        </w:rPr>
        <w:t>Příloha č. 1</w:t>
      </w:r>
    </w:p>
    <w:p w:rsidR="00163ECB" w:rsidRPr="00163ECB" w:rsidRDefault="00163ECB" w:rsidP="004214CA">
      <w:pPr>
        <w:spacing w:after="200" w:line="276" w:lineRule="auto"/>
        <w:rPr>
          <w:rFonts w:ascii="Arial" w:hAnsi="Arial" w:cs="Arial"/>
          <w:iCs/>
        </w:rPr>
      </w:pPr>
      <w:r w:rsidRPr="00163ECB">
        <w:rPr>
          <w:rFonts w:ascii="Arial" w:hAnsi="Arial" w:cs="Arial"/>
          <w:b/>
          <w:iCs/>
        </w:rPr>
        <w:t>Přehled návštěvnosti na jihočeských památkových objektech ve správě NPÚ ÚPS ČB</w:t>
      </w:r>
    </w:p>
    <w:tbl>
      <w:tblPr>
        <w:tblW w:w="1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60"/>
        <w:gridCol w:w="2460"/>
        <w:gridCol w:w="2460"/>
        <w:gridCol w:w="2300"/>
      </w:tblGrid>
      <w:tr w:rsidR="00163ECB" w:rsidRPr="00350CA5" w:rsidTr="00163ECB">
        <w:trPr>
          <w:trHeight w:val="315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  <w:b/>
                <w:bCs/>
                <w:i/>
                <w:iCs/>
              </w:rPr>
            </w:pPr>
            <w:r w:rsidRPr="00350CA5">
              <w:rPr>
                <w:rFonts w:ascii="Arial CE" w:hAnsi="Arial CE"/>
                <w:b/>
                <w:bCs/>
                <w:i/>
                <w:iCs/>
              </w:rPr>
              <w:t>objekt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  <w:b/>
                <w:bCs/>
                <w:i/>
                <w:iCs/>
              </w:rPr>
            </w:pPr>
            <w:r w:rsidRPr="00350CA5">
              <w:rPr>
                <w:rFonts w:ascii="Arial CE" w:hAnsi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  <w:b/>
                <w:bCs/>
                <w:i/>
                <w:iCs/>
              </w:rPr>
            </w:pPr>
            <w:r w:rsidRPr="00350CA5">
              <w:rPr>
                <w:rFonts w:ascii="Arial CE" w:hAnsi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  <w:b/>
                <w:bCs/>
                <w:i/>
                <w:iCs/>
              </w:rPr>
            </w:pPr>
            <w:r w:rsidRPr="00350CA5">
              <w:rPr>
                <w:rFonts w:ascii="Arial CE" w:hAnsi="Arial CE"/>
                <w:b/>
                <w:bCs/>
                <w:i/>
                <w:iCs/>
              </w:rPr>
              <w:t>vybrané vstupné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  <w:b/>
                <w:bCs/>
                <w:i/>
                <w:iCs/>
              </w:rPr>
            </w:pPr>
            <w:r w:rsidRPr="00350CA5">
              <w:rPr>
                <w:rFonts w:ascii="Arial CE" w:hAnsi="Arial CE"/>
                <w:b/>
                <w:bCs/>
                <w:i/>
                <w:iCs/>
              </w:rPr>
              <w:t>vybrané vstupné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  <w:b/>
                <w:bCs/>
                <w:i/>
                <w:iCs/>
              </w:rPr>
            </w:pPr>
            <w:r w:rsidRPr="00350CA5">
              <w:rPr>
                <w:rFonts w:ascii="Arial CE" w:hAnsi="Arial CE"/>
                <w:b/>
                <w:bCs/>
                <w:i/>
                <w:iCs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  <w:b/>
                <w:bCs/>
                <w:i/>
                <w:iCs/>
              </w:rPr>
            </w:pPr>
            <w:r w:rsidRPr="00350CA5">
              <w:rPr>
                <w:rFonts w:ascii="Arial CE" w:hAnsi="Arial CE"/>
                <w:b/>
                <w:bCs/>
                <w:i/>
                <w:iCs/>
              </w:rPr>
              <w:t>I.-VII. 2013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  <w:b/>
                <w:bCs/>
                <w:i/>
                <w:iCs/>
              </w:rPr>
            </w:pPr>
            <w:r w:rsidRPr="00350CA5">
              <w:rPr>
                <w:rFonts w:ascii="Arial CE" w:hAnsi="Arial CE"/>
                <w:b/>
                <w:bCs/>
                <w:i/>
                <w:iCs/>
              </w:rPr>
              <w:t>I.-VII. 2014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  <w:b/>
                <w:bCs/>
                <w:i/>
                <w:iCs/>
              </w:rPr>
            </w:pPr>
            <w:r w:rsidRPr="00350CA5">
              <w:rPr>
                <w:rFonts w:ascii="Arial CE" w:hAnsi="Arial CE"/>
                <w:b/>
                <w:bCs/>
                <w:i/>
                <w:iCs/>
              </w:rPr>
              <w:t>I.-VII. 2013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  <w:b/>
                <w:bCs/>
                <w:i/>
                <w:iCs/>
              </w:rPr>
            </w:pPr>
            <w:r w:rsidRPr="00350CA5">
              <w:rPr>
                <w:rFonts w:ascii="Arial CE" w:hAnsi="Arial CE"/>
                <w:b/>
                <w:bCs/>
                <w:i/>
                <w:iCs/>
              </w:rPr>
              <w:t>I.-VII. 2014</w:t>
            </w:r>
          </w:p>
        </w:tc>
      </w:tr>
      <w:tr w:rsidR="00163ECB" w:rsidRPr="00350CA5" w:rsidTr="00163ECB">
        <w:trPr>
          <w:trHeight w:val="33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Český Krumlov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170 611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199 840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20 210 979,00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21 946 319,00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Červená Lhota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35 056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39 128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2 374 348,00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2 759 418,00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Dačice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6 080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6 726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400 592,00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419 676,00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Domanín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15 441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18 505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598 563,00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816 842,00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Hluboká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141 784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146 125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20 003 753,00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20 258 922,11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Jindřichův Hradec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27 801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32 243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1 624 540,00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1 926 865,00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Kratochvíle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14 268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21 234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906 055,00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1 405 697,64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Landštejn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18 223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20 952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1 015 720,00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1 124 800,00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Nové Hrady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9 637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10 972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488 405,00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603 785,00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Rožmberk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28 280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35 040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1 976 400,00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2 374 820,00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Třeboň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18 998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23 674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1 427 039,00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1 796 728,00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Zlatá Koruna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17 143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14 027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810 965,00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988 395,00</w:t>
            </w:r>
          </w:p>
        </w:tc>
      </w:tr>
      <w:tr w:rsidR="00163ECB" w:rsidRPr="00350CA5" w:rsidTr="00163ECB">
        <w:trPr>
          <w:trHeight w:val="33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Zvíkov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15 378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14 414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822 320,00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744 530,00</w:t>
            </w:r>
          </w:p>
        </w:tc>
      </w:tr>
      <w:tr w:rsidR="00163ECB" w:rsidRPr="00350CA5" w:rsidTr="00163ECB">
        <w:trPr>
          <w:trHeight w:val="33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 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center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 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 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 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  <w:b/>
                <w:bCs/>
              </w:rPr>
            </w:pPr>
            <w:r w:rsidRPr="00350CA5">
              <w:rPr>
                <w:rFonts w:ascii="Arial CE" w:hAnsi="Arial CE"/>
                <w:b/>
                <w:bCs/>
              </w:rPr>
              <w:t>c e l k e 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518 700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582 880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52 659 679,00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57 166 797,75</w:t>
            </w:r>
          </w:p>
        </w:tc>
      </w:tr>
      <w:tr w:rsidR="00163ECB" w:rsidRPr="00350CA5" w:rsidTr="00163ECB">
        <w:trPr>
          <w:trHeight w:val="315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3ECB" w:rsidRPr="00350CA5" w:rsidRDefault="00163ECB" w:rsidP="00AF7FCB">
            <w:pPr>
              <w:jc w:val="right"/>
              <w:rPr>
                <w:rFonts w:ascii="Arial CE" w:hAnsi="Arial CE"/>
              </w:rPr>
            </w:pPr>
            <w:r w:rsidRPr="00350CA5">
              <w:rPr>
                <w:rFonts w:ascii="Arial CE" w:hAnsi="Arial CE"/>
              </w:rPr>
              <w:t> </w:t>
            </w:r>
          </w:p>
        </w:tc>
      </w:tr>
    </w:tbl>
    <w:p w:rsidR="00163ECB" w:rsidRPr="00163ECB" w:rsidRDefault="00163ECB" w:rsidP="004214CA">
      <w:pPr>
        <w:spacing w:after="200" w:line="276" w:lineRule="auto"/>
        <w:rPr>
          <w:rFonts w:ascii="Arial" w:hAnsi="Arial" w:cs="Arial"/>
          <w:iCs/>
          <w:sz w:val="20"/>
        </w:rPr>
      </w:pPr>
    </w:p>
    <w:sectPr w:rsidR="00163ECB" w:rsidRPr="00163ECB" w:rsidSect="00163ECB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10" w:rsidRDefault="00EB5D1D">
    <w:pPr>
      <w:pStyle w:val="Zhlav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10" w:rsidRDefault="00EB5D1D" w:rsidP="00C25A1C">
    <w:pPr>
      <w:pStyle w:val="Zhlav"/>
      <w:tabs>
        <w:tab w:val="clear" w:pos="4536"/>
        <w:tab w:val="clear" w:pos="9072"/>
        <w:tab w:val="left" w:pos="675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5AF99AD" wp14:editId="4CA76FFE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3" name="Obrázek 3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CA"/>
    <w:rsid w:val="000C271C"/>
    <w:rsid w:val="00163ECB"/>
    <w:rsid w:val="00333E75"/>
    <w:rsid w:val="004214CA"/>
    <w:rsid w:val="004B6DE2"/>
    <w:rsid w:val="0068066C"/>
    <w:rsid w:val="007B7C28"/>
    <w:rsid w:val="00BB40A0"/>
    <w:rsid w:val="00C214BC"/>
    <w:rsid w:val="00D77AE4"/>
    <w:rsid w:val="00DC7469"/>
    <w:rsid w:val="00E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214CA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214CA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4214CA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4214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214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4214CA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4214CA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4214CA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14CA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4214CA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214CA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Normln1">
    <w:name w:val="Normální1"/>
    <w:rsid w:val="004214CA"/>
    <w:pPr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4C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214CA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214CA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4214CA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4214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214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4214CA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4214CA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4214CA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14CA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4214CA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214CA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Normln1">
    <w:name w:val="Normální1"/>
    <w:rsid w:val="004214CA"/>
    <w:pPr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4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u-cb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repova.jitka@npu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velec.petr@npu.cz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Jitka Skorepova</cp:lastModifiedBy>
  <cp:revision>6</cp:revision>
  <dcterms:created xsi:type="dcterms:W3CDTF">2014-08-04T11:06:00Z</dcterms:created>
  <dcterms:modified xsi:type="dcterms:W3CDTF">2014-08-04T12:10:00Z</dcterms:modified>
</cp:coreProperties>
</file>